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016</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6"/>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，对</w:t>
      </w:r>
      <w:r>
        <w:rPr>
          <w:rFonts w:hint="eastAsia" w:ascii="方正仿宋_GBK" w:hAnsi="方正仿宋_GBK" w:eastAsia="方正仿宋_GBK" w:cs="方正仿宋_GBK"/>
          <w:b w:val="0"/>
          <w:bCs w:val="0"/>
          <w:sz w:val="32"/>
          <w:szCs w:val="32"/>
          <w:lang w:val="en-US" w:eastAsia="zh-CN"/>
        </w:rPr>
        <w:t>曲靖市和所辖县（市、区）“预算管理一体化系统”运维呼叫中心400电话招标</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016</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方正仿宋_GBK" w:hAnsi="方正仿宋_GBK" w:eastAsia="方正仿宋_GBK" w:cs="方正仿宋_GBK"/>
          <w:b w:val="0"/>
          <w:bCs w:val="0"/>
          <w:sz w:val="32"/>
          <w:szCs w:val="32"/>
          <w:lang w:val="en-US" w:eastAsia="zh-CN"/>
        </w:rPr>
        <w:t>曲靖市和所辖县（市、区）“预算管理一体化系统”运维呼叫中心400电话招标</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29</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29</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11.报名截止时间：2023年</w:t>
      </w:r>
      <w:r>
        <w:rPr>
          <w:rFonts w:hint="eastAsia" w:eastAsia="方正仿宋_GBK" w:cs="Times New Roman"/>
          <w:b w:val="0"/>
          <w:bCs/>
          <w:color w:val="000000" w:themeColor="text1"/>
          <w:sz w:val="32"/>
          <w:szCs w:val="32"/>
          <w:lang w:val="en-US" w:eastAsia="zh-CN"/>
          <w14:textFill>
            <w14:solidFill>
              <w14:schemeClr w14:val="tx1"/>
            </w14:solidFill>
          </w14:textFill>
        </w:rPr>
        <w:t>8</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2"/>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2"/>
        <w:jc w:val="center"/>
        <w:rPr>
          <w:rFonts w:hint="default" w:ascii="Times New Roman" w:hAnsi="Times New Roman" w:eastAsia="仿宋_GB2312" w:cs="Times New Roman"/>
          <w:b w:val="0"/>
          <w:bCs/>
          <w:sz w:val="44"/>
          <w:szCs w:val="44"/>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2023年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8</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18</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招标400电话单价多少元一分钟</w:t>
            </w:r>
          </w:p>
          <w:p>
            <w:pPr>
              <w:widowControl/>
              <w:jc w:val="center"/>
              <w:textAlignment w:val="center"/>
              <w:rPr>
                <w:rFonts w:hint="default" w:ascii="Times New Roman" w:hAnsi="Times New Roman" w:eastAsia="仿宋_GB2312" w:cs="Times New Roman"/>
                <w:sz w:val="32"/>
                <w:szCs w:val="32"/>
                <w:lang w:val="en-US" w:eastAsia="zh-CN"/>
              </w:rPr>
            </w:pP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ascii="仿宋" w:hAnsi="仿宋" w:eastAsia="仿宋" w:cs="Times New Roman"/>
          <w:sz w:val="28"/>
          <w:szCs w:val="28"/>
          <w:lang w:val="en-US" w:eastAsia="zh-CN" w:bidi="ar-SA"/>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bidi="ar-SA"/>
        </w:rPr>
        <w:t>　　 </w:t>
      </w:r>
      <w:r>
        <w:rPr>
          <w:rFonts w:hint="eastAsia" w:ascii="方正仿宋_GBK" w:hAnsi="方正仿宋_GBK" w:eastAsia="方正仿宋_GBK" w:cs="方正仿宋_GBK"/>
          <w:sz w:val="32"/>
          <w:szCs w:val="32"/>
          <w:lang w:val="en-US" w:eastAsia="zh-CN"/>
        </w:rPr>
        <w:t>400热线号码及产生的通话费用。采购服务主要用于支撑曲靖呼叫中心项目，涵盖服务电话接听、用户回访等。具体应包括：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1、协助曲靖财政申请报批400电话；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2、提供所有客户在本地或国内（不包含港澳台）漫游时拨打，即：移动、联通、电信、铁通、广电等运营商的客户均可拨打；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3、具备与现有呼叫中心接通、测试、联调；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4、线路稳定不卡顿；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5、具备通话安全、录音安全、数据安全；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6、提供400呼叫服务业务的咨询、业务受理、开通及故障申告等一站式服务，出现问题具备快速响应和处理的能力，并提供相应的售后服务与技术支持；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7、服务期限为3年，费用按半年/支付（以银行托收方式）。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报价方式：需提供在本地或国内（不包含港澳台）漫游时，拨打资费单价（单位：元/分钟）。</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黑体" w:hAnsi="黑体" w:eastAsia="黑体" w:cs="黑体"/>
          <w:b w:val="0"/>
          <w:bCs w:val="0"/>
          <w:sz w:val="32"/>
          <w:szCs w:val="32"/>
          <w:lang w:val="en-US" w:eastAsia="zh-CN"/>
        </w:rPr>
        <w:t>二、供应商资格要求</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1.供应商须是在中华人民共和国境内注册的独立法人，具有相关营业范围与能力；</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2.供应商需具有增值电信业务、增值移动业务、增值联通业务或代理资质中的至少一项；具有从事本项目相匹配的技术人员和维护等履约能力；</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3.供应商近三年内（2020年1月至今）具有同类业绩（以中标通知书分复印件为准)；</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4.参加采购活动前3年内在经营活动中没有重大违法记录的书面声明；</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5.供应商具有良好的财务状况（提供2021年度或2022年度经审计的财务审计报告或者财务报表或财务状况良好承诺书）；</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6.供应商未被列入“信用中国”网站 *** )记录失信被执行人或重大税收违法案件当事人名单或政府采购严重违法失信行为记录名单；不处于中国政府采购网 *** )政府采购严重违法失信行为信息记录中的禁止参加政府采购活动期间的方可参加本项目的投标；如相关失信记录已失效，供应商需提供相关证明资料（查询时间为本项目招标公告发布之日起至投标截止时间前） ；</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7.具备法律、行政法规规定的其他条件的证明材料；</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8.单位负责人为同一人或者存在直接控股、管理关系的不同供应商，不得参加同一合同项下的采购活动。</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9.本项目不接受联合体投标。</w:t>
      </w:r>
    </w:p>
    <w:p>
      <w:pPr>
        <w:pStyle w:val="2"/>
        <w:rPr>
          <w:rFonts w:hint="eastAsia"/>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eastAsia"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pStyle w:val="2"/>
        <w:ind w:left="0" w:leftChars="0" w:firstLine="0" w:firstLineChars="0"/>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016</w:t>
      </w:r>
      <w:bookmarkStart w:id="0" w:name="_GoBack"/>
      <w:bookmarkEnd w:id="0"/>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98896C-DF2D-4CD7-BD0F-4E49935E0C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A44B2114-659D-4282-AA21-856DA4121095}"/>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3" w:fontKey="{7356E1F8-A597-4BEA-BA43-AF09D98B5639}"/>
  </w:font>
  <w:font w:name="仿宋_GB2312">
    <w:panose1 w:val="02010609030101010101"/>
    <w:charset w:val="86"/>
    <w:family w:val="auto"/>
    <w:pitch w:val="default"/>
    <w:sig w:usb0="00000001" w:usb1="080E0000" w:usb2="00000000" w:usb3="00000000" w:csb0="00040000" w:csb1="00000000"/>
    <w:embedRegular r:id="rId4" w:fontKey="{72A0BB56-2722-4189-9488-0B250B6250C8}"/>
  </w:font>
  <w:font w:name="方正仿宋_GBK">
    <w:panose1 w:val="03000509000000000000"/>
    <w:charset w:val="86"/>
    <w:family w:val="auto"/>
    <w:pitch w:val="default"/>
    <w:sig w:usb0="00000001" w:usb1="080E0000" w:usb2="00000000" w:usb3="00000000" w:csb0="00040000" w:csb1="00000000"/>
    <w:embedRegular r:id="rId5" w:fontKey="{DCE5F67B-8C83-4470-9D5C-79EE32DC33A7}"/>
  </w:font>
  <w:font w:name="方正黑体_GBK">
    <w:panose1 w:val="03000509000000000000"/>
    <w:charset w:val="86"/>
    <w:family w:val="auto"/>
    <w:pitch w:val="default"/>
    <w:sig w:usb0="00000001" w:usb1="080E0000" w:usb2="00000000" w:usb3="00000000" w:csb0="00040000" w:csb1="00000000"/>
    <w:embedRegular r:id="rId6" w:fontKey="{D62F2A3B-933A-4557-9017-7191DE0EE525}"/>
  </w:font>
  <w:font w:name="方正楷体_GBK">
    <w:panose1 w:val="03000509000000000000"/>
    <w:charset w:val="86"/>
    <w:family w:val="auto"/>
    <w:pitch w:val="default"/>
    <w:sig w:usb0="00000001" w:usb1="080E0000" w:usb2="00000000" w:usb3="00000000" w:csb0="00040000" w:csb1="00000000"/>
    <w:embedRegular r:id="rId7" w:fontKey="{D374F358-7ED7-4745-90C4-29491E32FAAA}"/>
  </w:font>
  <w:font w:name="仿宋">
    <w:panose1 w:val="02010609060101010101"/>
    <w:charset w:val="86"/>
    <w:family w:val="modern"/>
    <w:pitch w:val="default"/>
    <w:sig w:usb0="800002BF" w:usb1="38CF7CFA" w:usb2="00000016" w:usb3="00000000" w:csb0="00040001" w:csb1="00000000"/>
    <w:embedRegular r:id="rId8" w:fontKey="{E8EFB521-9BFD-4F2A-8DDD-8F06DDBD20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CC3796"/>
    <w:rsid w:val="03E078EC"/>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120D32"/>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0B0B"/>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20</Pages>
  <Words>5221</Words>
  <Characters>5414</Characters>
  <Lines>0</Lines>
  <Paragraphs>0</Paragraphs>
  <TotalTime>6</TotalTime>
  <ScaleCrop>false</ScaleCrop>
  <LinksUpToDate>false</LinksUpToDate>
  <CharactersWithSpaces>6734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lenovo</cp:lastModifiedBy>
  <cp:lastPrinted>2022-07-09T08:57:00Z</cp:lastPrinted>
  <dcterms:modified xsi:type="dcterms:W3CDTF">2023-08-18T02:48:16Z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0AE457849D00449EA99935E635A5E72E</vt:lpwstr>
  </property>
</Properties>
</file>