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10</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6"/>
        <w:rPr>
          <w:rFonts w:hint="eastAsia" w:ascii="仿宋_GB2312" w:hAnsi="仿宋_GB2312" w:eastAsia="仿宋_GB2312" w:cs="仿宋_GB2312"/>
          <w:sz w:val="32"/>
          <w:szCs w:val="32"/>
        </w:rPr>
      </w:pPr>
    </w:p>
    <w:p>
      <w:pPr>
        <w:pStyle w:val="6"/>
        <w:rPr>
          <w:rFonts w:hint="eastAsia" w:ascii="仿宋_GB2312" w:hAnsi="仿宋_GB2312" w:eastAsia="仿宋_GB2312" w:cs="仿宋_GB2312"/>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第一章  谈判邀请书</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第二章  谈判文件和项目要求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第三章</w:t>
      </w:r>
      <w:r>
        <w:rPr>
          <w:rFonts w:hint="eastAsia" w:ascii="方正仿宋_GBK" w:hAnsi="方正仿宋_GBK" w:eastAsia="方正仿宋_GBK" w:cs="方正仿宋_GBK"/>
          <w:bCs/>
          <w:sz w:val="32"/>
          <w:szCs w:val="32"/>
        </w:rPr>
        <w:t xml:space="preserve"> </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供应方</w:t>
      </w:r>
      <w:r>
        <w:rPr>
          <w:rFonts w:hint="eastAsia" w:ascii="方正仿宋_GBK" w:hAnsi="方正仿宋_GBK" w:eastAsia="方正仿宋_GBK" w:cs="方正仿宋_GBK"/>
          <w:bCs/>
          <w:sz w:val="32"/>
          <w:szCs w:val="32"/>
        </w:rPr>
        <w:t>须知</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第四章  采购需求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第五章  </w:t>
      </w:r>
      <w:r>
        <w:rPr>
          <w:rFonts w:hint="eastAsia" w:ascii="方正仿宋_GBK" w:hAnsi="方正仿宋_GBK" w:eastAsia="方正仿宋_GBK" w:cs="方正仿宋_GBK"/>
          <w:bCs/>
          <w:sz w:val="32"/>
          <w:szCs w:val="32"/>
          <w:lang w:eastAsia="zh-CN"/>
        </w:rPr>
        <w:t>合同</w:t>
      </w:r>
      <w:r>
        <w:rPr>
          <w:rFonts w:hint="eastAsia" w:ascii="方正仿宋_GBK" w:hAnsi="方正仿宋_GBK" w:eastAsia="方正仿宋_GBK" w:cs="方正仿宋_GBK"/>
          <w:bCs/>
          <w:color w:val="000000" w:themeColor="text1"/>
          <w:sz w:val="32"/>
          <w:szCs w:val="32"/>
          <w14:textFill>
            <w14:solidFill>
              <w14:schemeClr w14:val="tx1"/>
            </w14:solidFill>
          </w14:textFill>
        </w:rPr>
        <w:t>格</w:t>
      </w:r>
      <w:r>
        <w:rPr>
          <w:rFonts w:hint="eastAsia" w:ascii="方正仿宋_GBK" w:hAnsi="方正仿宋_GBK" w:eastAsia="方正仿宋_GBK" w:cs="方正仿宋_GBK"/>
          <w:bCs/>
          <w:sz w:val="32"/>
          <w:szCs w:val="32"/>
        </w:rPr>
        <w:t>式文本</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第六章  响应文件格式</w:t>
      </w:r>
    </w:p>
    <w:p>
      <w:pPr>
        <w:pStyle w:val="6"/>
        <w:ind w:left="0" w:leftChars="0" w:firstLine="1059" w:firstLineChars="331"/>
        <w:jc w:val="left"/>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曲靖市财政局按《曲靖市财政局机关采购管理实施细则（试行）》的要求</w:t>
      </w:r>
      <w:r>
        <w:rPr>
          <w:rFonts w:hint="eastAsia" w:ascii="Times New Roman" w:hAnsi="Times New Roman" w:eastAsia="方正仿宋_GBK" w:cs="Times New Roman"/>
          <w:b w:val="0"/>
          <w:bCs/>
          <w:sz w:val="32"/>
          <w:szCs w:val="32"/>
          <w:lang w:val="en-US" w:eastAsia="zh-CN"/>
        </w:rPr>
        <w:t>曲靖市财政局2022年商用密码应用安全性评估服务</w:t>
      </w:r>
      <w:r>
        <w:rPr>
          <w:rFonts w:hint="default" w:ascii="Times New Roman" w:hAnsi="Times New Roman" w:eastAsia="方正仿宋_GBK" w:cs="Times New Roman"/>
          <w:b w:val="0"/>
          <w:bCs/>
          <w:sz w:val="32"/>
          <w:szCs w:val="32"/>
          <w:lang w:val="en-US" w:eastAsia="zh-CN"/>
        </w:rPr>
        <w:t>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w:t>
      </w:r>
      <w:r>
        <w:rPr>
          <w:rFonts w:hint="eastAsia" w:ascii="Times New Roman" w:hAnsi="Times New Roman" w:eastAsia="方正仿宋_GBK" w:cs="Times New Roman"/>
          <w:b w:val="0"/>
          <w:bCs/>
          <w:sz w:val="32"/>
          <w:szCs w:val="32"/>
          <w:lang w:val="en-US" w:eastAsia="zh-CN"/>
        </w:rPr>
        <w:t>10</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sz w:val="32"/>
          <w:szCs w:val="32"/>
          <w:lang w:val="en-US" w:eastAsia="zh-CN"/>
        </w:rPr>
        <w:t>2.项目名称：</w:t>
      </w:r>
      <w:r>
        <w:rPr>
          <w:rFonts w:hint="eastAsia" w:ascii="Times New Roman" w:hAnsi="Times New Roman" w:eastAsia="方正仿宋_GBK" w:cs="Times New Roman"/>
          <w:b w:val="0"/>
          <w:bCs/>
          <w:kern w:val="2"/>
          <w:sz w:val="32"/>
          <w:szCs w:val="32"/>
          <w:lang w:val="en-US" w:eastAsia="zh-CN" w:bidi="ar-SA"/>
        </w:rPr>
        <w:t>曲靖市财政局2022年商用密码应用安全性评估服务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2022年</w:t>
      </w:r>
      <w:r>
        <w:rPr>
          <w:rFonts w:hint="eastAsia" w:ascii="Times New Roman" w:hAnsi="Times New Roman" w:eastAsia="方正仿宋_GBK" w:cs="Times New Roman"/>
          <w:b w:val="0"/>
          <w:bCs/>
          <w:color w:val="auto"/>
          <w:sz w:val="32"/>
          <w:szCs w:val="32"/>
          <w:lang w:val="en-US" w:eastAsia="zh-CN"/>
        </w:rPr>
        <w:t>8</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sz w:val="32"/>
          <w:szCs w:val="32"/>
          <w:lang w:val="en-US" w:eastAsia="zh-CN"/>
        </w:rPr>
        <w:t>11</w:t>
      </w:r>
      <w:r>
        <w:rPr>
          <w:rFonts w:hint="default" w:ascii="Times New Roman" w:hAnsi="Times New Roman" w:eastAsia="方正仿宋_GBK" w:cs="Times New Roman"/>
          <w:b w:val="0"/>
          <w:bCs/>
          <w:sz w:val="32"/>
          <w:szCs w:val="32"/>
          <w:lang w:val="en-US" w:eastAsia="zh-CN"/>
        </w:rPr>
        <w:t>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2022年</w:t>
      </w:r>
      <w:r>
        <w:rPr>
          <w:rFonts w:hint="eastAsia" w:ascii="Times New Roman" w:hAnsi="Times New Roman" w:eastAsia="方正仿宋_GBK" w:cs="Times New Roman"/>
          <w:b w:val="0"/>
          <w:bCs/>
          <w:color w:val="auto"/>
          <w:sz w:val="32"/>
          <w:szCs w:val="32"/>
          <w:lang w:val="en-US" w:eastAsia="zh-CN"/>
        </w:rPr>
        <w:t>8</w:t>
      </w:r>
      <w:r>
        <w:rPr>
          <w:rFonts w:hint="default" w:ascii="Times New Roman" w:hAnsi="Times New Roman" w:eastAsia="方正仿宋_GBK" w:cs="Times New Roman"/>
          <w:b w:val="0"/>
          <w:bCs/>
          <w:sz w:val="32"/>
          <w:szCs w:val="32"/>
          <w:lang w:val="en-US" w:eastAsia="zh-CN"/>
        </w:rPr>
        <w:t>月 1</w:t>
      </w:r>
      <w:r>
        <w:rPr>
          <w:rFonts w:hint="eastAsia"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val="en-US" w:eastAsia="zh-CN"/>
        </w:rPr>
        <w:t>日15:00（北京时间）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r>
        <w:rPr>
          <w:rFonts w:hint="eastAsia" w:ascii="Times New Roman" w:hAnsi="Times New Roman" w:eastAsia="方正仿宋_GBK" w:cs="Times New Roman"/>
          <w:b w:val="0"/>
          <w:bCs/>
          <w:color w:val="000000" w:themeColor="text1"/>
          <w:sz w:val="32"/>
          <w:szCs w:val="32"/>
          <w:lang w:eastAsia="zh-CN"/>
          <w14:textFill>
            <w14:solidFill>
              <w14:schemeClr w14:val="tx1"/>
            </w14:solidFill>
          </w14:textFill>
        </w:rPr>
        <w:t>，响应文件要求一正两副。</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w:t>
      </w:r>
      <w:r>
        <w:rPr>
          <w:rFonts w:hint="eastAsia"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xml:space="preserve"> 2022年</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7</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29</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sz w:val="44"/>
          <w:szCs w:val="44"/>
        </w:rPr>
      </w:pPr>
      <w:r>
        <w:rPr>
          <w:rFonts w:hint="eastAsia" w:ascii="仿宋_GB2312" w:hAnsi="仿宋_GB2312" w:eastAsia="仿宋_GB2312" w:cs="仿宋_GB2312"/>
          <w:b w:val="0"/>
          <w:bCs/>
          <w:sz w:val="32"/>
          <w:szCs w:val="32"/>
        </w:rPr>
        <w:t xml:space="preserve">                     </w:t>
      </w:r>
    </w:p>
    <w:p>
      <w:pPr>
        <w:pStyle w:val="6"/>
        <w:numPr>
          <w:ilvl w:val="0"/>
          <w:numId w:val="1"/>
        </w:numPr>
        <w:tabs>
          <w:tab w:val="left" w:pos="0"/>
          <w:tab w:val="clear" w:pos="4188"/>
        </w:tabs>
        <w:ind w:left="0" w:firstLine="0"/>
        <w:jc w:val="center"/>
        <w:outlineLvl w:val="0"/>
        <w:rPr>
          <w:rFonts w:hint="eastAsia" w:ascii="Times New Roman" w:hAnsi="Times New Roman" w:eastAsia="方正小标宋_GBK" w:cs="Times New Roman"/>
          <w:b w:val="0"/>
          <w:bCs/>
          <w:sz w:val="44"/>
          <w:szCs w:val="44"/>
        </w:rPr>
      </w:pPr>
      <w:r>
        <w:rPr>
          <w:rFonts w:hint="eastAsia"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二、谈判项目要求</w:t>
      </w:r>
    </w:p>
    <w:p>
      <w:pPr>
        <w:pStyle w:val="6"/>
        <w:ind w:left="959" w:leftChars="228" w:hanging="480" w:hangingChars="150"/>
        <w:jc w:val="left"/>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1.采购人及采购预算</w:t>
      </w:r>
    </w:p>
    <w:tbl>
      <w:tblPr>
        <w:tblStyle w:val="12"/>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w:t>
            </w:r>
          </w:p>
        </w:tc>
        <w:tc>
          <w:tcPr>
            <w:tcW w:w="3750"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w:t>
            </w:r>
          </w:p>
        </w:tc>
        <w:tc>
          <w:tcPr>
            <w:tcW w:w="4261"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D1</w:t>
            </w:r>
          </w:p>
        </w:tc>
        <w:tc>
          <w:tcPr>
            <w:tcW w:w="3750" w:type="dxa"/>
            <w:noWrap w:val="0"/>
            <w:vAlign w:val="center"/>
          </w:tcPr>
          <w:p>
            <w:pPr>
              <w:jc w:val="center"/>
              <w:outlineLvl w:val="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eastAsia="zh-CN"/>
              </w:rPr>
              <w:t>曲靖市</w:t>
            </w:r>
            <w:r>
              <w:rPr>
                <w:rFonts w:hint="eastAsia" w:ascii="仿宋_GB2312" w:hAnsi="仿宋_GB2312" w:eastAsia="仿宋_GB2312" w:cs="仿宋_GB2312"/>
                <w:sz w:val="32"/>
                <w:szCs w:val="32"/>
                <w:lang w:val="en-US" w:eastAsia="zh-CN"/>
              </w:rPr>
              <w:t>财政局</w:t>
            </w:r>
          </w:p>
        </w:tc>
        <w:tc>
          <w:tcPr>
            <w:tcW w:w="4261" w:type="dxa"/>
            <w:noWrap w:val="0"/>
            <w:vAlign w:val="center"/>
          </w:tcPr>
          <w:p>
            <w:pPr>
              <w:widowControl/>
              <w:jc w:val="center"/>
              <w:textAlignment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100000</w:t>
            </w:r>
          </w:p>
        </w:tc>
      </w:tr>
    </w:tbl>
    <w:p>
      <w:pPr>
        <w:ind w:firstLine="480" w:firstLineChars="150"/>
        <w:outlineLvl w:val="0"/>
        <w:rPr>
          <w:rFonts w:hint="default" w:ascii="Times New Roman" w:hAnsi="Times New Roman" w:eastAsia="方正仿宋_GBK" w:cs="Times New Roman"/>
          <w:sz w:val="32"/>
          <w:szCs w:val="32"/>
        </w:rPr>
      </w:pPr>
      <w:r>
        <w:rPr>
          <w:rFonts w:hint="default" w:ascii="方正楷体_GBK" w:hAnsi="方正楷体_GBK" w:eastAsia="方正楷体_GBK" w:cs="方正楷体_GBK"/>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本项目不接受联合体响应。</w:t>
      </w:r>
    </w:p>
    <w:p>
      <w:pPr>
        <w:pStyle w:val="6"/>
        <w:jc w:val="center"/>
        <w:rPr>
          <w:rFonts w:hint="default" w:ascii="Times New Roman" w:hAnsi="Times New Roman" w:eastAsia="方正仿宋_GBK" w:cs="Times New Roman"/>
          <w:sz w:val="32"/>
          <w:szCs w:val="32"/>
        </w:rPr>
      </w:pPr>
      <w:r>
        <w:rPr>
          <w:rFonts w:hint="eastAsia" w:ascii="Times New Roman" w:hAnsi="Times New Roman" w:eastAsia="方正小标宋_GBK" w:cs="Times New Roman"/>
          <w:b w:val="0"/>
          <w:bCs/>
          <w:sz w:val="44"/>
          <w:szCs w:val="44"/>
        </w:rPr>
        <w:t xml:space="preserve">第三章  </w:t>
      </w:r>
      <w:r>
        <w:rPr>
          <w:rFonts w:hint="eastAsia" w:ascii="Times New Roman" w:hAnsi="Times New Roman" w:eastAsia="方正小标宋_GBK" w:cs="Times New Roman"/>
          <w:b w:val="0"/>
          <w:bCs/>
          <w:sz w:val="44"/>
          <w:szCs w:val="44"/>
          <w:lang w:val="en-US" w:eastAsia="zh-CN"/>
        </w:rPr>
        <w:t>供应方</w:t>
      </w:r>
      <w:r>
        <w:rPr>
          <w:rFonts w:hint="eastAsia" w:ascii="Times New Roman" w:hAnsi="Times New Roman" w:eastAsia="方正小标宋_GBK" w:cs="Times New Roman"/>
          <w:b w:val="0"/>
          <w:bCs/>
          <w:sz w:val="44"/>
          <w:szCs w:val="44"/>
        </w:rPr>
        <w:t>须知</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1.</w:t>
      </w:r>
      <w:r>
        <w:rPr>
          <w:rFonts w:hint="eastAsia" w:ascii="方正楷体_GBK" w:hAnsi="方正楷体_GBK" w:eastAsia="方正楷体_GBK" w:cs="方正楷体_GBK"/>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r>
        <w:rPr>
          <w:rFonts w:hint="eastAsia"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A.</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价格</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B.</w:t>
      </w:r>
      <w:r>
        <w:rPr>
          <w:rFonts w:hint="default" w:ascii="Times New Roman" w:hAnsi="Times New Roman" w:eastAsia="方正仿宋_GBK" w:cs="Times New Roman"/>
          <w:b w:val="0"/>
          <w:bCs/>
          <w:color w:val="auto"/>
          <w:sz w:val="32"/>
          <w:szCs w:val="32"/>
          <w:lang w:eastAsia="zh-CN"/>
        </w:rPr>
        <w:t>服务质量</w:t>
      </w:r>
      <w:r>
        <w:rPr>
          <w:rFonts w:hint="default" w:ascii="Times New Roman" w:hAnsi="Times New Roman" w:eastAsia="方正仿宋_GBK" w:cs="Times New Roman"/>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C.</w:t>
      </w:r>
      <w:r>
        <w:rPr>
          <w:rFonts w:hint="default" w:ascii="Times New Roman" w:hAnsi="Times New Roman" w:eastAsia="方正仿宋_GBK" w:cs="Times New Roman"/>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D.</w:t>
      </w:r>
      <w:r>
        <w:rPr>
          <w:rFonts w:hint="default" w:ascii="Times New Roman" w:hAnsi="Times New Roman" w:eastAsia="方正仿宋_GBK" w:cs="Times New Roman"/>
          <w:b w:val="0"/>
          <w:bCs/>
          <w:sz w:val="32"/>
          <w:szCs w:val="32"/>
        </w:rPr>
        <w:t>资信及</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能力</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E.</w:t>
      </w:r>
      <w:r>
        <w:rPr>
          <w:rFonts w:hint="default" w:ascii="Times New Roman" w:hAnsi="Times New Roman" w:eastAsia="方正仿宋_GBK" w:cs="Times New Roman"/>
          <w:b w:val="0"/>
          <w:bCs/>
          <w:color w:val="auto"/>
          <w:sz w:val="32"/>
          <w:szCs w:val="32"/>
          <w:lang w:eastAsia="zh-CN"/>
        </w:rPr>
        <w:t>代理招采造价咨询</w:t>
      </w:r>
      <w:r>
        <w:rPr>
          <w:rFonts w:hint="default" w:ascii="Times New Roman" w:hAnsi="Times New Roman" w:eastAsia="方正仿宋_GBK" w:cs="Times New Roman"/>
          <w:b w:val="0"/>
          <w:bCs/>
          <w:color w:val="auto"/>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lang w:eastAsia="zh-CN"/>
        </w:rPr>
      </w:pPr>
      <w:r>
        <w:rPr>
          <w:rFonts w:hint="default" w:ascii="方正黑体_GBK" w:hAnsi="方正黑体_GBK" w:eastAsia="方正黑体_GBK" w:cs="方正黑体_GBK"/>
          <w:b w:val="0"/>
          <w:bCs/>
          <w:sz w:val="32"/>
          <w:szCs w:val="32"/>
        </w:rPr>
        <w:t>四、授予</w:t>
      </w:r>
      <w:r>
        <w:rPr>
          <w:rFonts w:hint="default" w:ascii="方正黑体_GBK" w:hAnsi="方正黑体_GBK" w:eastAsia="方正黑体_GBK" w:cs="方正黑体_GBK"/>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 xml:space="preserve">3、验收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 xml:space="preserve">4.付款条件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11"/>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6"/>
        <w:jc w:val="both"/>
        <w:rPr>
          <w:rFonts w:hint="eastAsia" w:ascii="Times New Roman" w:hAnsi="Times New Roman" w:eastAsia="方正小标宋_GBK" w:cs="Times New Roman"/>
          <w:b w:val="0"/>
          <w:bCs/>
          <w:sz w:val="44"/>
          <w:szCs w:val="44"/>
          <w:lang w:val="en-US" w:eastAsia="zh-CN"/>
        </w:rPr>
      </w:pPr>
    </w:p>
    <w:p>
      <w:pPr>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rPr>
          <w:rFonts w:hint="eastAsia"/>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第四章 采购需求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方正黑体_GBK" w:hAnsi="方正黑体_GBK" w:eastAsia="方正黑体_GBK" w:cs="方正黑体_GBK"/>
          <w:b w:val="0"/>
          <w:bCs/>
          <w:color w:val="000000" w:themeColor="text1"/>
          <w:kern w:val="2"/>
          <w:sz w:val="32"/>
          <w:szCs w:val="32"/>
          <w:lang w:val="en-US" w:eastAsia="zh-CN" w:bidi="ar-SA"/>
          <w14:textFill>
            <w14:solidFill>
              <w14:schemeClr w14:val="tx1"/>
            </w14:solidFill>
          </w14:textFill>
        </w:rPr>
      </w:pPr>
      <w:r>
        <w:rPr>
          <w:rFonts w:hint="eastAsia" w:ascii="方正黑体_GBK" w:hAnsi="方正黑体_GBK" w:eastAsia="方正黑体_GBK" w:cs="方正黑体_GBK"/>
          <w:b w:val="0"/>
          <w:bCs/>
          <w:color w:val="000000" w:themeColor="text1"/>
          <w:kern w:val="2"/>
          <w:sz w:val="32"/>
          <w:szCs w:val="32"/>
          <w:lang w:val="en-US" w:eastAsia="zh-CN" w:bidi="ar-SA"/>
          <w14:textFill>
            <w14:solidFill>
              <w14:schemeClr w14:val="tx1"/>
            </w14:solidFill>
          </w14:textFill>
        </w:rPr>
        <w:t>一、采购项目名称</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t>（一）项目名称：</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曲靖市财政局2022年商用密码应用安全性评估服务采购项目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t>（二）项目预算金额：</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本次采购项目为部门自行采购项目，总报价超过10万(人民币)以上为无效投标。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方正黑体_GBK" w:hAnsi="方正黑体_GBK" w:eastAsia="方正黑体_GBK" w:cs="方正黑体_GBK"/>
          <w:b w:val="0"/>
          <w:bCs/>
          <w:color w:val="000000" w:themeColor="text1"/>
          <w:kern w:val="2"/>
          <w:sz w:val="32"/>
          <w:szCs w:val="32"/>
          <w:lang w:val="en-US" w:eastAsia="zh-CN" w:bidi="ar-SA"/>
          <w14:textFill>
            <w14:solidFill>
              <w14:schemeClr w14:val="tx1"/>
            </w14:solidFill>
          </w14:textFill>
        </w:rPr>
      </w:pPr>
      <w:r>
        <w:rPr>
          <w:rFonts w:hint="eastAsia" w:ascii="方正黑体_GBK" w:hAnsi="方正黑体_GBK" w:eastAsia="方正黑体_GBK" w:cs="方正黑体_GBK"/>
          <w:b w:val="0"/>
          <w:bCs/>
          <w:color w:val="000000" w:themeColor="text1"/>
          <w:kern w:val="2"/>
          <w:sz w:val="32"/>
          <w:szCs w:val="32"/>
          <w:lang w:val="en-US" w:eastAsia="zh-CN" w:bidi="ar-SA"/>
          <w14:textFill>
            <w14:solidFill>
              <w14:schemeClr w14:val="tx1"/>
            </w14:solidFill>
          </w14:textFill>
        </w:rPr>
        <w:t>二、项目管理和服务要求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为认真贯彻落实《中华人民共和国密码法》、《国家政务信息化项目建设管理办法》，按照国家密码管理局《商用密码应用安全性评估管理办法（试行）》有关要求，对曲靖市财政局的1个等保三级系统—预算管理一体化系统（以下简称“服务目标”）进行商用密码应用安全性评估。</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pPr>
      <w:r>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t>（一）采用的技术与规范</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1.GB/T 39786-2021《信息安全技术信息系统密码应用基本要求》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2.《商用密码应用安全性评估量化评估规则》</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3.《信息系统密码应用测评过程指南》</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4.《信息系统密码应用测评要求》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5.《信息系统密码应用高风险判定指引》</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6.《商用密码应用安全性评估测评作业指导书（试行）》</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pPr>
      <w:r>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t>（二）服务要求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pPr>
      <w:r>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t>1.技术要求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对服务目标进行商用密码应用安全性评估，主要工作内容包括：通用要求测评、密码技术应用测评、密钥管理测评、安全管理测评等内容。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pPr>
      <w:r>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t>（1）通用要求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具体要求如下：</w:t>
      </w:r>
    </w:p>
    <w:tbl>
      <w:tblPr>
        <w:tblStyle w:val="12"/>
        <w:tblW w:w="9982" w:type="dxa"/>
        <w:tblInd w:w="0" w:type="dxa"/>
        <w:shd w:val="clear" w:color="auto" w:fill="FFFFFF"/>
        <w:tblLayout w:type="fixed"/>
        <w:tblCellMar>
          <w:top w:w="10" w:type="dxa"/>
          <w:left w:w="10" w:type="dxa"/>
          <w:bottom w:w="10" w:type="dxa"/>
          <w:right w:w="10" w:type="dxa"/>
        </w:tblCellMar>
      </w:tblPr>
      <w:tblGrid>
        <w:gridCol w:w="1977"/>
        <w:gridCol w:w="8005"/>
      </w:tblGrid>
      <w:tr>
        <w:tblPrEx>
          <w:shd w:val="clear" w:color="auto" w:fill="FFFFFF"/>
          <w:tblLayout w:type="fixed"/>
          <w:tblCellMar>
            <w:top w:w="10" w:type="dxa"/>
            <w:left w:w="10" w:type="dxa"/>
            <w:bottom w:w="10" w:type="dxa"/>
            <w:right w:w="10" w:type="dxa"/>
          </w:tblCellMar>
        </w:tblPrEx>
        <w:trPr>
          <w:trHeight w:val="217" w:hRule="atLeast"/>
        </w:trPr>
        <w:tc>
          <w:tcPr>
            <w:tcW w:w="1977" w:type="dxa"/>
            <w:tcBorders>
              <w:top w:val="single" w:color="000000" w:sz="6" w:space="0"/>
              <w:left w:val="single" w:color="000000" w:sz="6" w:space="0"/>
              <w:bottom w:val="single" w:color="000000" w:sz="6" w:space="0"/>
              <w:right w:val="single" w:color="000000" w:sz="6" w:space="0"/>
            </w:tcBorders>
            <w:shd w:val="clear" w:color="auto" w:fill="D6D6D6"/>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项目内容</w:t>
            </w:r>
          </w:p>
        </w:tc>
        <w:tc>
          <w:tcPr>
            <w:tcW w:w="8005" w:type="dxa"/>
            <w:tcBorders>
              <w:top w:val="single" w:color="000000" w:sz="6" w:space="0"/>
              <w:left w:val="single" w:color="000000" w:sz="6" w:space="0"/>
              <w:bottom w:val="single" w:color="000000" w:sz="6" w:space="0"/>
              <w:right w:val="single" w:color="000000" w:sz="6" w:space="0"/>
            </w:tcBorders>
            <w:shd w:val="clear" w:color="auto" w:fill="D6D6D6"/>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具体要求</w:t>
            </w:r>
          </w:p>
        </w:tc>
      </w:tr>
      <w:tr>
        <w:tblPrEx>
          <w:tblLayout w:type="fixed"/>
          <w:tblCellMar>
            <w:top w:w="10" w:type="dxa"/>
            <w:left w:w="10" w:type="dxa"/>
            <w:bottom w:w="10" w:type="dxa"/>
            <w:right w:w="10" w:type="dxa"/>
          </w:tblCellMar>
        </w:tblPrEx>
        <w:trPr>
          <w:trHeight w:val="580" w:hRule="atLeast"/>
        </w:trPr>
        <w:tc>
          <w:tcPr>
            <w:tcW w:w="1977"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密码算法合规性测评</w:t>
            </w:r>
          </w:p>
        </w:tc>
        <w:tc>
          <w:tcPr>
            <w:tcW w:w="8005"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信息系统中使用的密码算法是否符合法律、法规的规定和密码相关国家标准、行业标准的有关要求。</w:t>
            </w:r>
          </w:p>
        </w:tc>
      </w:tr>
      <w:tr>
        <w:tblPrEx>
          <w:tblLayout w:type="fixed"/>
          <w:tblCellMar>
            <w:top w:w="10" w:type="dxa"/>
            <w:left w:w="10" w:type="dxa"/>
            <w:bottom w:w="10" w:type="dxa"/>
            <w:right w:w="10" w:type="dxa"/>
          </w:tblCellMar>
        </w:tblPrEx>
        <w:tc>
          <w:tcPr>
            <w:tcW w:w="1977"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密码技术合规性测评</w:t>
            </w:r>
          </w:p>
        </w:tc>
        <w:tc>
          <w:tcPr>
            <w:tcW w:w="8005"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信息系统中使用的密码技术是否遵循密码相关国家标准和行业标准。</w:t>
            </w:r>
          </w:p>
        </w:tc>
      </w:tr>
      <w:tr>
        <w:tblPrEx>
          <w:tblLayout w:type="fixed"/>
          <w:tblCellMar>
            <w:top w:w="10" w:type="dxa"/>
            <w:left w:w="10" w:type="dxa"/>
            <w:bottom w:w="10" w:type="dxa"/>
            <w:right w:w="10" w:type="dxa"/>
          </w:tblCellMar>
        </w:tblPrEx>
        <w:tc>
          <w:tcPr>
            <w:tcW w:w="1977"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密码产品合规性测评</w:t>
            </w:r>
          </w:p>
        </w:tc>
        <w:tc>
          <w:tcPr>
            <w:tcW w:w="8005"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信息系统中使用的密码产品与密码模块是否通过国家密码管理部门核准。</w:t>
            </w:r>
          </w:p>
        </w:tc>
      </w:tr>
      <w:tr>
        <w:tblPrEx>
          <w:tblLayout w:type="fixed"/>
          <w:tblCellMar>
            <w:top w:w="10" w:type="dxa"/>
            <w:left w:w="10" w:type="dxa"/>
            <w:bottom w:w="10" w:type="dxa"/>
            <w:right w:w="10" w:type="dxa"/>
          </w:tblCellMar>
        </w:tblPrEx>
        <w:tc>
          <w:tcPr>
            <w:tcW w:w="1977"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密码服务合规性测评</w:t>
            </w:r>
          </w:p>
        </w:tc>
        <w:tc>
          <w:tcPr>
            <w:tcW w:w="8005"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信息系统中使用的密码服务是否通过国家密码管理部门许可。</w:t>
            </w:r>
          </w:p>
        </w:tc>
      </w:tr>
    </w:tbl>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t>2.密码技术应用测评</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密码技术应用测评主要从物理和环境、网络和通信、设备和计算、应用和数据4个层面对信息系统中应用的密码技术进行分析与评估。具体要求如下：</w:t>
      </w:r>
    </w:p>
    <w:tbl>
      <w:tblPr>
        <w:tblStyle w:val="12"/>
        <w:tblW w:w="9967" w:type="dxa"/>
        <w:tblInd w:w="0" w:type="dxa"/>
        <w:shd w:val="clear" w:color="auto" w:fill="FFFFFF"/>
        <w:tblLayout w:type="fixed"/>
        <w:tblCellMar>
          <w:top w:w="10" w:type="dxa"/>
          <w:left w:w="10" w:type="dxa"/>
          <w:bottom w:w="10" w:type="dxa"/>
          <w:right w:w="10" w:type="dxa"/>
        </w:tblCellMar>
      </w:tblPr>
      <w:tblGrid>
        <w:gridCol w:w="1977"/>
        <w:gridCol w:w="7990"/>
      </w:tblGrid>
      <w:tr>
        <w:tblPrEx>
          <w:shd w:val="clear" w:color="auto" w:fill="FFFFFF"/>
          <w:tblLayout w:type="fixed"/>
          <w:tblCellMar>
            <w:top w:w="10" w:type="dxa"/>
            <w:left w:w="10" w:type="dxa"/>
            <w:bottom w:w="10" w:type="dxa"/>
            <w:right w:w="10" w:type="dxa"/>
          </w:tblCellMar>
        </w:tblPrEx>
        <w:tc>
          <w:tcPr>
            <w:tcW w:w="1977" w:type="dxa"/>
            <w:tcBorders>
              <w:top w:val="single" w:color="000000" w:sz="6" w:space="0"/>
              <w:left w:val="single" w:color="000000" w:sz="6" w:space="0"/>
              <w:bottom w:val="single" w:color="000000" w:sz="6" w:space="0"/>
              <w:right w:val="single" w:color="000000" w:sz="6" w:space="0"/>
            </w:tcBorders>
            <w:shd w:val="clear" w:color="auto" w:fill="D6D6D6"/>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项目内容</w:t>
            </w:r>
          </w:p>
        </w:tc>
        <w:tc>
          <w:tcPr>
            <w:tcW w:w="7990" w:type="dxa"/>
            <w:tcBorders>
              <w:top w:val="single" w:color="000000" w:sz="6" w:space="0"/>
              <w:left w:val="single" w:color="000000" w:sz="6" w:space="0"/>
              <w:bottom w:val="single" w:color="000000" w:sz="6" w:space="0"/>
              <w:right w:val="single" w:color="000000" w:sz="6" w:space="0"/>
            </w:tcBorders>
            <w:shd w:val="clear" w:color="auto" w:fill="D6D6D6"/>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具体要求</w:t>
            </w:r>
          </w:p>
        </w:tc>
      </w:tr>
      <w:tr>
        <w:tblPrEx>
          <w:tblLayout w:type="fixed"/>
          <w:tblCellMar>
            <w:top w:w="10" w:type="dxa"/>
            <w:left w:w="10" w:type="dxa"/>
            <w:bottom w:w="10" w:type="dxa"/>
            <w:right w:w="10" w:type="dxa"/>
          </w:tblCellMar>
        </w:tblPrEx>
        <w:tc>
          <w:tcPr>
            <w:tcW w:w="1977"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物理和环境测评</w:t>
            </w:r>
          </w:p>
        </w:tc>
        <w:tc>
          <w:tcPr>
            <w:tcW w:w="7990"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分析评估信息系统是否合理、合规的利用商用密码完整性、真实性功能，对影响信息系统安全防护效能的物理和环境层面因素进行保护。包括但不限于下列典型因素：重要场所的物理访问控制，监控设备的物理访问控制，以及物理访问记录、监控信息等敏感信息数据完整性。</w:t>
            </w:r>
          </w:p>
        </w:tc>
      </w:tr>
      <w:tr>
        <w:tblPrEx>
          <w:tblLayout w:type="fixed"/>
          <w:tblCellMar>
            <w:top w:w="10" w:type="dxa"/>
            <w:left w:w="10" w:type="dxa"/>
            <w:bottom w:w="10" w:type="dxa"/>
            <w:right w:w="10" w:type="dxa"/>
          </w:tblCellMar>
        </w:tblPrEx>
        <w:tc>
          <w:tcPr>
            <w:tcW w:w="1977"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网络和通信测评</w:t>
            </w:r>
          </w:p>
        </w:tc>
        <w:tc>
          <w:tcPr>
            <w:tcW w:w="7990"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分析评估信息系统是否合理、合规的利用商用密码机密性、完整性、真实性功能，对影响信息系统安全防护效能的网络和通信层面因素进行保护。包括但不限于下列典型因素：安全认证连接到内部网络的设备，通信双方的身份认证过程，通信数据完整性，敏感信息数据字段机密性，网络边界访问控制信息完整性，系统资源访问控制信息完整性，安全设备、安全组件的集中管理方式和信息传输通道。</w:t>
            </w:r>
          </w:p>
        </w:tc>
      </w:tr>
      <w:tr>
        <w:tblPrEx>
          <w:tblLayout w:type="fixed"/>
          <w:tblCellMar>
            <w:top w:w="10" w:type="dxa"/>
            <w:left w:w="10" w:type="dxa"/>
            <w:bottom w:w="10" w:type="dxa"/>
            <w:right w:w="10" w:type="dxa"/>
          </w:tblCellMar>
        </w:tblPrEx>
        <w:tc>
          <w:tcPr>
            <w:tcW w:w="1977"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设备和计算测评</w:t>
            </w:r>
          </w:p>
        </w:tc>
        <w:tc>
          <w:tcPr>
            <w:tcW w:w="7990"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分析评估信息系统是否合理、合规的利用商用密码机密性、完整性、真实性功能，对影响信息系统安全防护效能的设备和计算层面因素进行保护。包括但不限于下列典型因素：登录信息系统设备和计算环境的用户身份鉴别过程，系统设备和计算环境资源访问控制信息完整性，重要信息资源敏感标记完整性，重要程序或文件完整性，信息系统设备和计算环境的日志记录完整性。</w:t>
            </w:r>
          </w:p>
        </w:tc>
      </w:tr>
      <w:tr>
        <w:tblPrEx>
          <w:tblLayout w:type="fixed"/>
          <w:tblCellMar>
            <w:top w:w="10" w:type="dxa"/>
            <w:left w:w="10" w:type="dxa"/>
            <w:bottom w:w="10" w:type="dxa"/>
            <w:right w:w="10" w:type="dxa"/>
          </w:tblCellMar>
        </w:tblPrEx>
        <w:tc>
          <w:tcPr>
            <w:tcW w:w="1977"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应用和数据测评</w:t>
            </w:r>
          </w:p>
        </w:tc>
        <w:tc>
          <w:tcPr>
            <w:tcW w:w="7990"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分析评估信息系统是否合理、合规的利用商用密码机密性、完整性、真实性以及不可否认性功能，对影响信息系统安全防护效能的应用和数据层面因素进行保护。包括但不限于下列典型因素：登录信息系统应用和数据操作环境的用户身份鉴别过程，系统应用和数据操作环境资源访问控制信息完整性，重要信息资源敏感标记完整性，重要数据传输过程的机密性、完整性，重要信息存储过程的机密性、完整性，重要程序的加载和卸载过程，信息系统应用相关实体行为不不可否认性，信息系统应用和数据操作环境的日志记录完整性。</w:t>
            </w:r>
          </w:p>
        </w:tc>
      </w:tr>
    </w:tbl>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3.密钥管理测评</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密钥管理测评是对影响商用密码防护效能的密钥生命周期相关环节，以及相关环节管理和策略制定的全过程进行分析与评估。密钥生命周期相关环节主要包括：密钥生成，密钥存储，密钥分发，密钥导入，密钥导出，密钥使用，密钥备份，密钥恢复，密钥归档，密钥销毁。</w:t>
      </w: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4.安全管理测评</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安全管理测评是对影响商用密码防护效能的管理制度与措施进行分析与评估。管理制度与措施主要包括：管理制度，人员管控，信息系统实施，应急预案。具体要求如下：</w:t>
      </w:r>
    </w:p>
    <w:tbl>
      <w:tblPr>
        <w:tblStyle w:val="12"/>
        <w:tblW w:w="9248" w:type="dxa"/>
        <w:jc w:val="center"/>
        <w:tblInd w:w="0" w:type="dxa"/>
        <w:tblLayout w:type="fixed"/>
        <w:tblCellMar>
          <w:top w:w="10" w:type="dxa"/>
          <w:left w:w="10" w:type="dxa"/>
          <w:bottom w:w="10" w:type="dxa"/>
          <w:right w:w="10" w:type="dxa"/>
        </w:tblCellMar>
      </w:tblPr>
      <w:tblGrid>
        <w:gridCol w:w="1835"/>
        <w:gridCol w:w="7413"/>
      </w:tblGrid>
      <w:tr>
        <w:tblPrEx>
          <w:tblLayout w:type="fixed"/>
          <w:tblCellMar>
            <w:top w:w="10" w:type="dxa"/>
            <w:left w:w="10" w:type="dxa"/>
            <w:bottom w:w="10" w:type="dxa"/>
            <w:right w:w="10" w:type="dxa"/>
          </w:tblCellMar>
        </w:tblPrEx>
        <w:trPr>
          <w:jc w:val="center"/>
        </w:trPr>
        <w:tc>
          <w:tcPr>
            <w:tcW w:w="1835" w:type="dxa"/>
            <w:tcBorders>
              <w:top w:val="single" w:color="000000" w:sz="6" w:space="0"/>
              <w:left w:val="single" w:color="000000" w:sz="6" w:space="0"/>
              <w:bottom w:val="single" w:color="000000" w:sz="6" w:space="0"/>
              <w:right w:val="single" w:color="000000" w:sz="6" w:space="0"/>
            </w:tcBorders>
            <w:shd w:val="clear" w:color="auto" w:fill="D6D6D6"/>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项目内容</w:t>
            </w:r>
          </w:p>
        </w:tc>
        <w:tc>
          <w:tcPr>
            <w:tcW w:w="7413" w:type="dxa"/>
            <w:tcBorders>
              <w:top w:val="single" w:color="000000" w:sz="6" w:space="0"/>
              <w:left w:val="single" w:color="000000" w:sz="6" w:space="0"/>
              <w:bottom w:val="single" w:color="000000" w:sz="6" w:space="0"/>
              <w:right w:val="single" w:color="000000" w:sz="6" w:space="0"/>
            </w:tcBorders>
            <w:shd w:val="clear" w:color="auto" w:fill="D6D6D6"/>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具体要求</w:t>
            </w:r>
          </w:p>
        </w:tc>
      </w:tr>
      <w:tr>
        <w:tblPrEx>
          <w:tblLayout w:type="fixed"/>
          <w:tblCellMar>
            <w:top w:w="10" w:type="dxa"/>
            <w:left w:w="10" w:type="dxa"/>
            <w:bottom w:w="10" w:type="dxa"/>
            <w:right w:w="10" w:type="dxa"/>
          </w:tblCellMar>
        </w:tblPrEx>
        <w:trPr>
          <w:jc w:val="center"/>
        </w:trPr>
        <w:tc>
          <w:tcPr>
            <w:tcW w:w="1835"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管理制度测评</w:t>
            </w:r>
          </w:p>
        </w:tc>
        <w:tc>
          <w:tcPr>
            <w:tcW w:w="7413"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包括但不限于下列内容与措施：密码建设、运维、人员、设备、密钥管理内容，密码相关操作规范、安全操作规范，安全管理制度的合理性和适用性论证与审定，安全管理制度的改进和修订，安全管理制度的发布，安全管理制度的执行。</w:t>
            </w:r>
          </w:p>
        </w:tc>
      </w:tr>
      <w:tr>
        <w:tblPrEx>
          <w:tblLayout w:type="fixed"/>
          <w:tblCellMar>
            <w:top w:w="10" w:type="dxa"/>
            <w:left w:w="10" w:type="dxa"/>
            <w:bottom w:w="10" w:type="dxa"/>
            <w:right w:w="10" w:type="dxa"/>
          </w:tblCellMar>
        </w:tblPrEx>
        <w:trPr>
          <w:jc w:val="center"/>
        </w:trPr>
        <w:tc>
          <w:tcPr>
            <w:tcW w:w="1835"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人员管控测评</w:t>
            </w:r>
          </w:p>
        </w:tc>
        <w:tc>
          <w:tcPr>
            <w:tcW w:w="7413"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包括但不限于下列内容与措施：了解并遵守密码相关法律法规密码产品使用，关键岗位划分，相关人员职责与权限划分，岗位责任制与人员制约、监督机制，管理和使用账号，人员培训、人员选拔，人员考核、奖惩与调离，人员保密措施。</w:t>
            </w:r>
          </w:p>
        </w:tc>
      </w:tr>
      <w:tr>
        <w:tblPrEx>
          <w:tblLayout w:type="fixed"/>
          <w:tblCellMar>
            <w:top w:w="10" w:type="dxa"/>
            <w:left w:w="10" w:type="dxa"/>
            <w:bottom w:w="10" w:type="dxa"/>
            <w:right w:w="10" w:type="dxa"/>
          </w:tblCellMar>
        </w:tblPrEx>
        <w:trPr>
          <w:jc w:val="center"/>
        </w:trPr>
        <w:tc>
          <w:tcPr>
            <w:tcW w:w="1835"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建设运行测评</w:t>
            </w:r>
          </w:p>
        </w:tc>
        <w:tc>
          <w:tcPr>
            <w:tcW w:w="7413"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包括但不限于下列内容与措施：制定信息系统密码应用方案，确定密钥种类、体系以及生存周期，按照密码应用方案实施建设，信息系统运行前与定期评估，信息系统整改。</w:t>
            </w:r>
          </w:p>
        </w:tc>
      </w:tr>
      <w:tr>
        <w:tblPrEx>
          <w:tblLayout w:type="fixed"/>
          <w:tblCellMar>
            <w:top w:w="10" w:type="dxa"/>
            <w:left w:w="10" w:type="dxa"/>
            <w:bottom w:w="10" w:type="dxa"/>
            <w:right w:w="10" w:type="dxa"/>
          </w:tblCellMar>
        </w:tblPrEx>
        <w:trPr>
          <w:jc w:val="center"/>
        </w:trPr>
        <w:tc>
          <w:tcPr>
            <w:tcW w:w="1835"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应急处置测评</w:t>
            </w:r>
          </w:p>
        </w:tc>
        <w:tc>
          <w:tcPr>
            <w:tcW w:w="7413"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包括但不限于下列内容与措施：应急预案，应急资源准备，应急情况与处置，上级主管部门应急报告，同级密码主管部门应急报告。</w:t>
            </w:r>
          </w:p>
        </w:tc>
      </w:tr>
    </w:tbl>
    <w:p>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600" w:lineRule="exact"/>
        <w:jc w:val="left"/>
        <w:textAlignment w:val="auto"/>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pPr>
      <w:r>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t>进度要求</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jc w:val="left"/>
        <w:textAlignment w:val="auto"/>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pPr>
      <w:r>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t>1.实施进度</w:t>
      </w:r>
    </w:p>
    <w:tbl>
      <w:tblPr>
        <w:tblStyle w:val="12"/>
        <w:tblW w:w="9877" w:type="dxa"/>
        <w:tblInd w:w="-150" w:type="dxa"/>
        <w:tblLayout w:type="fixed"/>
        <w:tblCellMar>
          <w:top w:w="70" w:type="dxa"/>
          <w:left w:w="70" w:type="dxa"/>
          <w:bottom w:w="70" w:type="dxa"/>
          <w:right w:w="70" w:type="dxa"/>
        </w:tblCellMar>
      </w:tblPr>
      <w:tblGrid>
        <w:gridCol w:w="1843"/>
        <w:gridCol w:w="3969"/>
        <w:gridCol w:w="1843"/>
        <w:gridCol w:w="2222"/>
      </w:tblGrid>
      <w:tr>
        <w:tblPrEx>
          <w:tblLayout w:type="fixed"/>
          <w:tblCellMar>
            <w:top w:w="70" w:type="dxa"/>
            <w:left w:w="70" w:type="dxa"/>
            <w:bottom w:w="70" w:type="dxa"/>
            <w:right w:w="70" w:type="dxa"/>
          </w:tblCellMar>
        </w:tblPrEx>
        <w:tc>
          <w:tcPr>
            <w:tcW w:w="1843" w:type="dxa"/>
            <w:tcBorders>
              <w:top w:val="single" w:color="000000" w:sz="6" w:space="0"/>
              <w:left w:val="single" w:color="000000" w:sz="6" w:space="0"/>
              <w:bottom w:val="single" w:color="000000" w:sz="6" w:space="0"/>
              <w:right w:val="single" w:color="000000" w:sz="6" w:space="0"/>
            </w:tcBorders>
            <w:shd w:val="clear" w:color="auto" w:fill="D8D8D8"/>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阶段</w:t>
            </w:r>
          </w:p>
        </w:tc>
        <w:tc>
          <w:tcPr>
            <w:tcW w:w="3969" w:type="dxa"/>
            <w:tcBorders>
              <w:top w:val="single" w:color="000000" w:sz="6" w:space="0"/>
              <w:left w:val="single" w:color="000000" w:sz="6" w:space="0"/>
              <w:bottom w:val="single" w:color="000000" w:sz="6" w:space="0"/>
              <w:right w:val="single" w:color="000000" w:sz="6" w:space="0"/>
            </w:tcBorders>
            <w:shd w:val="clear" w:color="auto" w:fill="D8D8D8"/>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工作任务</w:t>
            </w:r>
          </w:p>
        </w:tc>
        <w:tc>
          <w:tcPr>
            <w:tcW w:w="1843" w:type="dxa"/>
            <w:tcBorders>
              <w:top w:val="single" w:color="000000" w:sz="6" w:space="0"/>
              <w:left w:val="single" w:color="000000" w:sz="6" w:space="0"/>
              <w:bottom w:val="single" w:color="000000" w:sz="6" w:space="0"/>
              <w:right w:val="single" w:color="000000" w:sz="6" w:space="0"/>
            </w:tcBorders>
            <w:shd w:val="clear" w:color="auto" w:fill="D8D8D8"/>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时限</w:t>
            </w:r>
          </w:p>
        </w:tc>
        <w:tc>
          <w:tcPr>
            <w:tcW w:w="2222" w:type="dxa"/>
            <w:tcBorders>
              <w:top w:val="single" w:color="000000" w:sz="6" w:space="0"/>
              <w:left w:val="single" w:color="000000" w:sz="6" w:space="0"/>
              <w:bottom w:val="single" w:color="000000" w:sz="6" w:space="0"/>
              <w:right w:val="single" w:color="000000" w:sz="6" w:space="0"/>
            </w:tcBorders>
            <w:shd w:val="clear" w:color="auto" w:fill="D8D8D8"/>
            <w:tcMar>
              <w:top w:w="75" w:type="dxa"/>
              <w:left w:w="150" w:type="dxa"/>
              <w:bottom w:w="75" w:type="dxa"/>
              <w:right w:w="150" w:type="dxa"/>
            </w:tcMa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备注</w:t>
            </w:r>
          </w:p>
        </w:tc>
      </w:tr>
      <w:tr>
        <w:tblPrEx>
          <w:tblLayout w:type="fixed"/>
          <w:tblCellMar>
            <w:top w:w="70" w:type="dxa"/>
            <w:left w:w="70" w:type="dxa"/>
            <w:bottom w:w="70" w:type="dxa"/>
            <w:right w:w="70" w:type="dxa"/>
          </w:tblCellMar>
        </w:tblPrEx>
        <w:tc>
          <w:tcPr>
            <w:tcW w:w="1843" w:type="dxa"/>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项目启动会</w:t>
            </w:r>
          </w:p>
        </w:tc>
        <w:tc>
          <w:tcPr>
            <w:tcW w:w="3969" w:type="dxa"/>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编制初步实施方案，召开项目启动会。</w:t>
            </w:r>
          </w:p>
        </w:tc>
        <w:tc>
          <w:tcPr>
            <w:tcW w:w="1843" w:type="dxa"/>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合同生效日期+3个工作日</w:t>
            </w:r>
          </w:p>
        </w:tc>
        <w:tc>
          <w:tcPr>
            <w:tcW w:w="2222" w:type="dxa"/>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tc>
      </w:tr>
      <w:tr>
        <w:tblPrEx>
          <w:tblLayout w:type="fixed"/>
          <w:tblCellMar>
            <w:top w:w="70" w:type="dxa"/>
            <w:left w:w="70" w:type="dxa"/>
            <w:bottom w:w="70" w:type="dxa"/>
            <w:right w:w="70" w:type="dxa"/>
          </w:tblCellMar>
        </w:tblPrEx>
        <w:tc>
          <w:tcPr>
            <w:tcW w:w="1843" w:type="dxa"/>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商用密码应用安全性评估</w:t>
            </w:r>
          </w:p>
        </w:tc>
        <w:tc>
          <w:tcPr>
            <w:tcW w:w="3969" w:type="dxa"/>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对服务项目开展商用密码应用安全性评估，并出具商用密码应用安全性评估报告。</w:t>
            </w:r>
          </w:p>
        </w:tc>
        <w:tc>
          <w:tcPr>
            <w:tcW w:w="1843" w:type="dxa"/>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合同生效日期+70个工作日</w:t>
            </w:r>
          </w:p>
        </w:tc>
        <w:tc>
          <w:tcPr>
            <w:tcW w:w="2222" w:type="dxa"/>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tc>
      </w:tr>
    </w:tbl>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成果交付期限项目合同生效日期+70个工作日。</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jc w:val="left"/>
        <w:textAlignment w:val="auto"/>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pPr>
      <w:r>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t>（四）管理要求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pPr>
      <w:r>
        <w:rPr>
          <w:rFonts w:hint="eastAsia" w:ascii="方正楷体_GBK" w:hAnsi="方正楷体_GBK" w:eastAsia="方正楷体_GBK" w:cs="方正楷体_GBK"/>
          <w:b w:val="0"/>
          <w:bCs/>
          <w:color w:val="000000" w:themeColor="text1"/>
          <w:kern w:val="2"/>
          <w:sz w:val="32"/>
          <w:szCs w:val="32"/>
          <w:lang w:val="en-US" w:eastAsia="zh-CN" w:bidi="ar-SA"/>
          <w14:textFill>
            <w14:solidFill>
              <w14:schemeClr w14:val="tx1"/>
            </w14:solidFill>
          </w14:textFill>
        </w:rPr>
        <w:t>1.服务人员</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商应指派固定的团队为本项目提供专业服务，服务团队成员不得少于5人，且都必须具备国家密码管理局认证的密评师。项目经理应通过国家密码管理局组织的商用密码应用安全性评估人员测评能力考核，且成绩在80分以上；项目经理应具备注册信息安全专业人员（CISP）证书；项目经理应至少承担过3个及以上同类测评项目，提供业绩证明材料，材料中能体现项目负责人姓名。提供最近3个月供应商为其缴纳的社保证明。</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320" w:firstLineChars="1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2.成果要求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（1）服务成果文档《XX系统商用密码应用安全性评估报告》2份</w:t>
      </w: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（2）项目管理过程文档</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除上述服务成果文档外的项目实施过程重要文档，包括但不限于项目实施方案、计划、相关工作总结等。</w:t>
      </w: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方正黑体_GBK" w:hAnsi="方正黑体_GBK" w:eastAsia="方正黑体_GBK" w:cs="方正黑体_GBK"/>
          <w:b w:val="0"/>
          <w:bCs/>
          <w:color w:val="000000" w:themeColor="text1"/>
          <w:kern w:val="2"/>
          <w:sz w:val="32"/>
          <w:szCs w:val="32"/>
          <w:lang w:val="en-US" w:eastAsia="zh-CN" w:bidi="ar-SA"/>
          <w14:textFill>
            <w14:solidFill>
              <w14:schemeClr w14:val="tx1"/>
            </w14:solidFill>
          </w14:textFill>
        </w:rPr>
      </w:pPr>
      <w:r>
        <w:rPr>
          <w:rFonts w:hint="eastAsia" w:ascii="方正黑体_GBK" w:hAnsi="方正黑体_GBK" w:eastAsia="方正黑体_GBK" w:cs="方正黑体_GBK"/>
          <w:b w:val="0"/>
          <w:bCs/>
          <w:color w:val="000000" w:themeColor="text1"/>
          <w:kern w:val="2"/>
          <w:sz w:val="32"/>
          <w:szCs w:val="32"/>
          <w:lang w:val="en-US" w:eastAsia="zh-CN" w:bidi="ar-SA"/>
          <w14:textFill>
            <w14:solidFill>
              <w14:schemeClr w14:val="tx1"/>
            </w14:solidFill>
          </w14:textFill>
        </w:rPr>
        <w:t>三、供应商资格要求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（一）满足《中华人民共和国政府采购法》第二十二条规定；</w:t>
      </w: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（二）落实政府采购政策需满足的资格要求：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（1）供应商具有独立承担民事责任的能力（提供营业执照或独立主体证明文件或自然人的身份证明）。公益一类事业单位、使用事业编制且由财政拨款保障的群团组织，不作为本项目的承接主体；</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（2）具有良好的商业信誉（自行承诺）；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（3）具有健全的财务会计制度（提供2020或2021年经第三方专业机构审计的财务报告，或者提供开标前三个月内（含开标当月）由开户银行出具的资信证明）；</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（4）具有履行合同所必需的设备和专业技术能力（提供书面声明或自行列表）；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（5）供应商有依法缴纳税收的良好记录（提供开标前三个月内（含开标当月）任意一个月份税收缴纳证明材料，依法免缴税收的提供相应证明材料）；</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（6）供应商有依法缴纳社会保障资金的良好记录（提供开标前三个月内（含开标当月）任意一个月份社保缴纳证明材料，依法免缴社保的提供相应证明材料）；</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（7）参加政府采购活动前三年内，在经营活动中没有重大违法记录（重大违法记录，是指供应商因违法经营受到刑事处罚或者责令停产停业、吊销许可证或者执照、较大数额罚款等行政处罚）的自行声明；</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8）服务供应商未被列入信用中国网站（www.creditchina.gov.cn）失信被执行人名单、重大税收违法案件当事人名单、政府采购严重违法失信行为记录名单及中国政府采购（www.ccgp.gov.cn）政府采购严重违法失信行为信息记录名单（以采购人或采购代理机构查询为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（9）单位负责人为同一人或者存在控股、管理关系的不同单位，不得同时参加本项目，否则均按无效处理。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10）供应商特定资格条件：供应商必须在国家密码管理局发布的《商用密码应用安全性评估试点机构目录》名单（供应商提供）或者《可在本地区、本行业（领域）或者委托面向社会开展试点工作的机构名单》内可在云南省内开展试点工作机构（采购人提供）。</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（三）本项目不接受联合体竞标。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left"/>
        <w:textAlignment w:val="auto"/>
        <w:rPr>
          <w:rFonts w:hint="eastAsia" w:ascii="方正黑体_GBK" w:hAnsi="方正黑体_GBK" w:eastAsia="方正黑体_GBK" w:cs="方正黑体_GBK"/>
          <w:b w:val="0"/>
          <w:bCs/>
          <w:color w:val="000000" w:themeColor="text1"/>
          <w:kern w:val="2"/>
          <w:sz w:val="32"/>
          <w:szCs w:val="32"/>
          <w:lang w:val="en-US" w:eastAsia="zh-CN" w:bidi="ar-SA"/>
          <w14:textFill>
            <w14:solidFill>
              <w14:schemeClr w14:val="tx1"/>
            </w14:solidFill>
          </w14:textFill>
        </w:rPr>
      </w:pPr>
      <w:r>
        <w:rPr>
          <w:rFonts w:hint="eastAsia" w:ascii="方正黑体_GBK" w:hAnsi="方正黑体_GBK" w:eastAsia="方正黑体_GBK" w:cs="方正黑体_GBK"/>
          <w:b w:val="0"/>
          <w:bCs/>
          <w:color w:val="000000" w:themeColor="text1"/>
          <w:kern w:val="2"/>
          <w:sz w:val="32"/>
          <w:szCs w:val="32"/>
          <w:lang w:val="en-US" w:eastAsia="zh-CN" w:bidi="ar-SA"/>
          <w14:textFill>
            <w14:solidFill>
              <w14:schemeClr w14:val="tx1"/>
            </w14:solidFill>
          </w14:textFill>
        </w:rPr>
        <w:t>四、商务需求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320" w:firstLineChars="1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一）服务期：供应商要求提供不少于3个月的驻场服务，服务期间应提供7×24服务响应，由专业评估人员在1小时内做好服务应答和反馈，配合业主单位完成系统差异性分析、方案评估、系统测评、密评咨询、标准解读和相关培训等工作。</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320" w:firstLineChars="1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（二）服务地点：采购单位指定地点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320" w:firstLineChars="1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（三）项目属性：服务类项目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320" w:firstLineChars="1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（四）报价要求：</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1.本项目服务费采用包干制，应包括服务成本、法定税费和企业的利润。由投标供应商根据采购文件所提供的资料自行测算投标报价；一经中标，报价总价作为中标供应商与采购人签定的合同金额，合同期限内不做调整。</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2.投标供应商应当根据本企业的成本自行决定报价，但不得以低于其企业成本的报价投标。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3.投标供应商的报价不得超过项目预算金额。</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4.投标供应商的报价，应当是本项目采购范围和采购文件及合同条款上所列的各项内容中所述的全部，不得以任何理由予以重复。</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5.投标供应商应按要求提供包含报价函、法人授权委托书、资质审查材料和其他证明文件（纸质材料一式贰份（一正</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两</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副），电子光盘1份）应装订良好并分别密封于信封（或包装袋）中（格式见附件），并自行承担所有与编写和提交响应文件有关的费用。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6.投标供应商不得期望通过索赔等方式获取补偿，否则，除可能遭到拒绝外，还可能将被作为不良行为记录在案，并可能影响其以后参加政府采购的项目投标。各投标供应商在报价时，应充分考虑报价的风险。</w:t>
      </w: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6"/>
        <w:jc w:val="both"/>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第五章  合同格式文本</w:t>
      </w:r>
    </w:p>
    <w:p>
      <w:pPr>
        <w:rPr>
          <w:rFonts w:hint="eastAsia" w:ascii="仿宋_GB2312" w:hAnsi="仿宋_GB2312" w:eastAsia="仿宋_GB2312" w:cs="仿宋_GB2312"/>
          <w:sz w:val="28"/>
        </w:rPr>
      </w:pPr>
    </w:p>
    <w:p>
      <w:pPr>
        <w:rPr>
          <w:rFonts w:hint="eastAsia" w:ascii="仿宋_GB2312" w:hAnsi="仿宋_GB2312" w:eastAsia="仿宋_GB2312" w:cs="仿宋_GB2312"/>
          <w:sz w:val="28"/>
          <w:u w:val="single"/>
        </w:rPr>
      </w:pPr>
      <w:r>
        <w:rPr>
          <w:rFonts w:hint="eastAsia" w:ascii="仿宋_GB2312" w:hAnsi="仿宋_GB2312" w:eastAsia="仿宋_GB2312" w:cs="仿宋_GB2312"/>
          <w:sz w:val="28"/>
          <w:lang w:eastAsia="zh-CN"/>
        </w:rPr>
        <w:t>合同</w:t>
      </w:r>
      <w:r>
        <w:rPr>
          <w:rFonts w:hint="eastAsia" w:ascii="仿宋_GB2312" w:hAnsi="仿宋_GB2312" w:eastAsia="仿宋_GB2312" w:cs="仿宋_GB2312"/>
          <w:sz w:val="28"/>
        </w:rPr>
        <w:t>登记编号：</w:t>
      </w:r>
      <w:r>
        <w:rPr>
          <w:rFonts w:hint="eastAsia" w:ascii="仿宋_GB2312" w:hAnsi="仿宋_GB2312" w:eastAsia="仿宋_GB2312" w:cs="仿宋_GB2312"/>
          <w:sz w:val="28"/>
          <w:u w:val="single"/>
        </w:rPr>
        <w:t xml:space="preserve">            </w:t>
      </w:r>
    </w:p>
    <w:p>
      <w:pPr>
        <w:jc w:val="center"/>
        <w:rPr>
          <w:rFonts w:hint="eastAsia" w:ascii="仿宋_GB2312" w:hAnsi="仿宋_GB2312" w:eastAsia="仿宋_GB2312" w:cs="仿宋_GB2312"/>
          <w:b/>
          <w:spacing w:val="100"/>
          <w:sz w:val="36"/>
          <w:lang w:val="en-US" w:eastAsia="zh-CN"/>
        </w:rPr>
      </w:pPr>
      <w:r>
        <w:rPr>
          <w:rFonts w:hint="eastAsia" w:ascii="仿宋_GB2312" w:hAnsi="仿宋_GB2312" w:eastAsia="仿宋_GB2312" w:cs="仿宋_GB2312"/>
          <w:b/>
          <w:spacing w:val="100"/>
          <w:sz w:val="36"/>
        </w:rPr>
        <w:t>曲靖市</w:t>
      </w:r>
      <w:r>
        <w:rPr>
          <w:rFonts w:hint="eastAsia" w:ascii="仿宋_GB2312" w:hAnsi="仿宋_GB2312" w:eastAsia="仿宋_GB2312" w:cs="仿宋_GB2312"/>
          <w:b/>
          <w:spacing w:val="100"/>
          <w:sz w:val="36"/>
          <w:lang w:val="en-US" w:eastAsia="zh-CN"/>
        </w:rPr>
        <w:t>财政局</w:t>
      </w:r>
    </w:p>
    <w:p>
      <w:pPr>
        <w:jc w:val="center"/>
        <w:rPr>
          <w:rFonts w:hint="eastAsia" w:ascii="仿宋_GB2312" w:hAnsi="仿宋_GB2312" w:eastAsia="仿宋_GB2312" w:cs="仿宋_GB2312"/>
          <w:b/>
          <w:spacing w:val="100"/>
          <w:sz w:val="36"/>
        </w:rPr>
      </w:pP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购</w:t>
      </w: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销</w:t>
      </w:r>
    </w:p>
    <w:p>
      <w:pPr>
        <w:jc w:val="center"/>
        <w:rPr>
          <w:rFonts w:hint="eastAsia" w:ascii="仿宋_GB2312" w:hAnsi="仿宋_GB2312" w:eastAsia="仿宋_GB2312" w:cs="仿宋_GB2312"/>
          <w:b/>
          <w:sz w:val="112"/>
          <w:szCs w:val="112"/>
          <w:lang w:eastAsia="zh-CN"/>
        </w:rPr>
      </w:pPr>
      <w:r>
        <w:rPr>
          <w:rFonts w:hint="eastAsia" w:ascii="仿宋_GB2312" w:hAnsi="仿宋_GB2312" w:eastAsia="仿宋_GB2312" w:cs="仿宋_GB2312"/>
          <w:b/>
          <w:sz w:val="112"/>
          <w:szCs w:val="112"/>
          <w:lang w:eastAsia="zh-CN"/>
        </w:rPr>
        <w:t>合</w:t>
      </w:r>
    </w:p>
    <w:p>
      <w:pPr>
        <w:pStyle w:val="17"/>
        <w:ind w:firstLine="4498" w:firstLineChars="400"/>
        <w:rPr>
          <w:rFonts w:hint="eastAsia" w:ascii="仿宋_GB2312" w:hAnsi="仿宋_GB2312" w:eastAsia="仿宋_GB2312" w:cs="仿宋_GB2312"/>
          <w:lang w:eastAsia="zh-CN"/>
        </w:rPr>
      </w:pPr>
      <w:r>
        <w:rPr>
          <w:rFonts w:hint="eastAsia" w:ascii="仿宋_GB2312" w:hAnsi="仿宋_GB2312" w:eastAsia="仿宋_GB2312" w:cs="仿宋_GB2312"/>
          <w:b/>
          <w:sz w:val="112"/>
          <w:szCs w:val="112"/>
          <w:lang w:eastAsia="zh-CN"/>
        </w:rPr>
        <w:t>同</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需求方：</w:t>
      </w:r>
      <w:r>
        <w:rPr>
          <w:rFonts w:hint="eastAsia" w:ascii="仿宋_GB2312" w:hAnsi="仿宋_GB2312" w:eastAsia="仿宋_GB2312" w:cs="仿宋_GB2312"/>
          <w:sz w:val="32"/>
          <w:u w:val="single"/>
        </w:rPr>
        <w:t xml:space="preserve">                              </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供应方：</w:t>
      </w:r>
      <w:r>
        <w:rPr>
          <w:rFonts w:hint="eastAsia" w:ascii="仿宋_GB2312" w:hAnsi="仿宋_GB2312" w:eastAsia="仿宋_GB2312" w:cs="仿宋_GB2312"/>
          <w:sz w:val="32"/>
          <w:u w:val="single"/>
        </w:rPr>
        <w:t xml:space="preserve">                              </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签订地点： </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签订时间：       年    月    日</w:t>
      </w:r>
    </w:p>
    <w:p>
      <w:pPr>
        <w:jc w:val="center"/>
        <w:rPr>
          <w:rFonts w:hint="eastAsia" w:ascii="仿宋_GB2312" w:hAnsi="仿宋_GB2312" w:eastAsia="仿宋_GB2312" w:cs="仿宋_GB2312"/>
          <w:sz w:val="32"/>
        </w:rPr>
      </w:pPr>
    </w:p>
    <w:p>
      <w:pPr>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曲靖市</w:t>
      </w:r>
      <w:r>
        <w:rPr>
          <w:rFonts w:hint="eastAsia" w:ascii="方正仿宋_GBK" w:hAnsi="方正仿宋_GBK" w:eastAsia="方正仿宋_GBK" w:cs="方正仿宋_GBK"/>
          <w:sz w:val="32"/>
          <w:szCs w:val="32"/>
          <w:lang w:val="en-US" w:eastAsia="zh-CN"/>
        </w:rPr>
        <w:t>财政局</w:t>
      </w:r>
      <w:r>
        <w:rPr>
          <w:rFonts w:hint="eastAsia" w:ascii="方正仿宋_GBK" w:hAnsi="方正仿宋_GBK" w:eastAsia="方正仿宋_GBK" w:cs="方正仿宋_GBK"/>
          <w:sz w:val="32"/>
          <w:szCs w:val="32"/>
        </w:rPr>
        <w:t>制</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为保护供需双方合法权益，根据《中华人民共和国政府采购法》、《中华人民共和国</w:t>
      </w:r>
      <w:r>
        <w:rPr>
          <w:rFonts w:hint="eastAsia" w:ascii="方正仿宋_GBK" w:hAnsi="方正仿宋_GBK" w:eastAsia="方正仿宋_GBK" w:cs="方正仿宋_GBK"/>
          <w:sz w:val="32"/>
          <w:szCs w:val="32"/>
          <w:lang w:eastAsia="zh-CN"/>
        </w:rPr>
        <w:t>民法典</w:t>
      </w:r>
      <w:r>
        <w:rPr>
          <w:rFonts w:hint="eastAsia" w:ascii="方正仿宋_GBK" w:hAnsi="方正仿宋_GBK" w:eastAsia="方正仿宋_GBK" w:cs="方正仿宋_GBK"/>
          <w:sz w:val="32"/>
          <w:szCs w:val="32"/>
        </w:rPr>
        <w:t>》，按照《</w:t>
      </w:r>
      <w:r>
        <w:rPr>
          <w:rFonts w:hint="eastAsia" w:ascii="方正仿宋_GBK" w:hAnsi="方正仿宋_GBK" w:eastAsia="方正仿宋_GBK" w:cs="方正仿宋_GBK"/>
          <w:sz w:val="32"/>
          <w:szCs w:val="32"/>
          <w:lang w:val="en-US" w:eastAsia="zh-CN"/>
        </w:rPr>
        <w:t>采购</w:t>
      </w:r>
      <w:r>
        <w:rPr>
          <w:rFonts w:hint="eastAsia" w:ascii="方正仿宋_GBK" w:hAnsi="方正仿宋_GBK" w:eastAsia="方正仿宋_GBK" w:cs="方正仿宋_GBK"/>
          <w:sz w:val="32"/>
          <w:szCs w:val="32"/>
        </w:rPr>
        <w:t>文件》和</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成交公司</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响应</w:t>
      </w:r>
      <w:r>
        <w:rPr>
          <w:rFonts w:hint="eastAsia" w:ascii="方正仿宋_GBK" w:hAnsi="方正仿宋_GBK" w:eastAsia="方正仿宋_GBK" w:cs="方正仿宋_GBK"/>
          <w:sz w:val="32"/>
          <w:szCs w:val="32"/>
        </w:rPr>
        <w:t>文件》要求，以及《</w:t>
      </w:r>
      <w:r>
        <w:rPr>
          <w:rFonts w:hint="eastAsia" w:ascii="方正仿宋_GBK" w:hAnsi="方正仿宋_GBK" w:eastAsia="方正仿宋_GBK" w:cs="方正仿宋_GBK"/>
          <w:sz w:val="32"/>
          <w:szCs w:val="32"/>
          <w:lang w:val="en-US" w:eastAsia="zh-CN"/>
        </w:rPr>
        <w:t>成交</w:t>
      </w:r>
      <w:r>
        <w:rPr>
          <w:rFonts w:hint="eastAsia" w:ascii="方正仿宋_GBK" w:hAnsi="方正仿宋_GBK" w:eastAsia="方正仿宋_GBK" w:cs="方正仿宋_GBK"/>
          <w:sz w:val="32"/>
          <w:szCs w:val="32"/>
        </w:rPr>
        <w:t>通知书》约定，签订本</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合同</w:t>
      </w:r>
      <w:r>
        <w:rPr>
          <w:rFonts w:hint="eastAsia" w:ascii="方正仿宋_GBK" w:hAnsi="方正仿宋_GBK" w:eastAsia="方正仿宋_GBK" w:cs="方正仿宋_GBK"/>
          <w:sz w:val="32"/>
          <w:szCs w:val="32"/>
        </w:rPr>
        <w:t>。</w:t>
      </w:r>
    </w:p>
    <w:tbl>
      <w:tblPr>
        <w:tblStyle w:val="12"/>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c>
          <w:tcPr>
            <w:tcW w:w="1456"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36" w:hRule="atLeast"/>
        </w:trPr>
        <w:tc>
          <w:tcPr>
            <w:tcW w:w="8960" w:type="dxa"/>
            <w:gridSpan w:val="6"/>
            <w:noWrap w:val="0"/>
            <w:vAlign w:val="center"/>
          </w:tcPr>
          <w:p>
            <w:pPr>
              <w:autoSpaceDE w:val="0"/>
              <w:autoSpaceDN w:val="0"/>
              <w:adjustRightInd w:val="0"/>
              <w:spacing w:line="420" w:lineRule="exact"/>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合同总金额（小写）¥：</w:t>
            </w:r>
            <w:r>
              <w:rPr>
                <w:rFonts w:hint="eastAsia" w:ascii="宋体" w:hAnsi="宋体" w:eastAsia="宋体" w:cs="宋体"/>
                <w:kern w:val="0"/>
                <w:sz w:val="22"/>
                <w:szCs w:val="22"/>
              </w:rPr>
              <w:t xml:space="preserve">              </w:t>
            </w:r>
            <w:r>
              <w:rPr>
                <w:rFonts w:hint="eastAsia" w:ascii="宋体" w:hAnsi="宋体" w:eastAsia="宋体" w:cs="宋体"/>
                <w:kern w:val="0"/>
                <w:sz w:val="22"/>
                <w:szCs w:val="22"/>
                <w:lang w:val="zh-CN"/>
              </w:rPr>
              <w:t>（大写）：</w:t>
            </w:r>
          </w:p>
        </w:tc>
      </w:tr>
    </w:tbl>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spacing w:line="420" w:lineRule="exact"/>
        <w:rPr>
          <w:rFonts w:hint="eastAsia" w:ascii="方正黑体_GBK" w:hAnsi="方正黑体_GBK" w:eastAsia="方正黑体_GBK" w:cs="方正黑体_GBK"/>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一、服务项目</w:t>
      </w:r>
      <w:r>
        <w:rPr>
          <w:rFonts w:hint="eastAsia" w:ascii="方正黑体_GBK" w:hAnsi="方正黑体_GBK" w:eastAsia="方正黑体_GBK" w:cs="方正黑体_GBK"/>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sz w:val="28"/>
          <w:szCs w:val="28"/>
          <w:lang w:eastAsia="zh-CN"/>
        </w:rPr>
        <w:t>六</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sz w:val="28"/>
          <w:szCs w:val="28"/>
          <w:lang w:eastAsia="zh-CN"/>
        </w:rPr>
        <w:t>七</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附件与</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方正黑体_GBK" w:hAnsi="方正黑体_GBK" w:eastAsia="方正黑体_GBK" w:cs="方正黑体_GBK"/>
          <w:sz w:val="28"/>
          <w:szCs w:val="28"/>
        </w:rPr>
      </w:pPr>
      <w:r>
        <w:rPr>
          <w:rFonts w:hint="default" w:ascii="方正黑体_GBK" w:hAnsi="方正黑体_GBK" w:eastAsia="方正黑体_GBK" w:cs="方正黑体_GBK"/>
          <w:sz w:val="28"/>
          <w:szCs w:val="28"/>
          <w:lang w:eastAsia="zh-CN"/>
        </w:rPr>
        <w:t>八</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经三方签字盖章后正式生效。</w:t>
      </w:r>
    </w:p>
    <w:p>
      <w:pPr>
        <w:spacing w:line="420" w:lineRule="exact"/>
        <w:ind w:firstLine="560" w:firstLineChars="200"/>
        <w:rPr>
          <w:rFonts w:hint="default" w:ascii="方正黑体_GBK" w:hAnsi="方正黑体_GBK" w:eastAsia="方正黑体_GBK" w:cs="方正黑体_GBK"/>
          <w:sz w:val="28"/>
          <w:szCs w:val="28"/>
        </w:rPr>
      </w:pPr>
      <w:r>
        <w:rPr>
          <w:rFonts w:hint="default" w:ascii="方正黑体_GBK" w:hAnsi="方正黑体_GBK" w:eastAsia="方正黑体_GBK" w:cs="方正黑体_GBK"/>
          <w:sz w:val="28"/>
          <w:szCs w:val="28"/>
          <w:lang w:eastAsia="zh-CN"/>
        </w:rPr>
        <w:t>九</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一式三份，三方各执一份，供需双方各一份</w:t>
      </w:r>
      <w:r>
        <w:rPr>
          <w:rFonts w:hint="default" w:ascii="方正黑体_GBK" w:hAnsi="方正黑体_GBK" w:eastAsia="方正黑体_GBK" w:cs="方正黑体_GBK"/>
          <w:sz w:val="28"/>
          <w:szCs w:val="28"/>
          <w:lang w:eastAsia="zh-CN"/>
        </w:rPr>
        <w:t>，</w:t>
      </w:r>
      <w:r>
        <w:rPr>
          <w:rFonts w:hint="default" w:ascii="方正黑体_GBK" w:hAnsi="方正黑体_GBK" w:eastAsia="方正黑体_GBK" w:cs="方正黑体_GBK"/>
          <w:sz w:val="28"/>
          <w:szCs w:val="28"/>
          <w:lang w:val="en-US" w:eastAsia="zh-CN"/>
        </w:rPr>
        <w:t>需求科室一份</w:t>
      </w:r>
      <w:r>
        <w:rPr>
          <w:rFonts w:hint="default" w:ascii="方正黑体_GBK" w:hAnsi="方正黑体_GBK" w:eastAsia="方正黑体_GBK" w:cs="方正黑体_GBK"/>
          <w:sz w:val="28"/>
          <w:szCs w:val="28"/>
        </w:rPr>
        <w:t>。</w:t>
      </w:r>
    </w:p>
    <w:p>
      <w:pPr>
        <w:spacing w:line="420" w:lineRule="exact"/>
        <w:rPr>
          <w:rFonts w:hint="default" w:ascii="方正黑体_GBK" w:hAnsi="方正黑体_GBK" w:eastAsia="方正黑体_GBK" w:cs="方正黑体_GBK"/>
          <w:sz w:val="28"/>
          <w:szCs w:val="28"/>
        </w:rPr>
      </w:pPr>
    </w:p>
    <w:p>
      <w:pPr>
        <w:pStyle w:val="11"/>
        <w:rPr>
          <w:rFonts w:hint="default" w:ascii="Times New Roman" w:hAnsi="Times New Roman" w:eastAsia="方正仿宋_GBK" w:cs="Times New Roman"/>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2"/>
        <w:rPr>
          <w:rFonts w:hint="default" w:ascii="Times New Roman" w:hAnsi="Times New Roman" w:eastAsia="方正仿宋_GBK" w:cs="Times New Roman"/>
          <w:sz w:val="32"/>
          <w:szCs w:val="32"/>
        </w:rPr>
      </w:pPr>
    </w:p>
    <w:p>
      <w:pPr>
        <w:rPr>
          <w:rFonts w:hint="default"/>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default" w:ascii="Times New Roman" w:hAnsi="Times New Roman" w:eastAsia="方正仿宋_GBK" w:cs="Times New Roman"/>
          <w:bCs/>
          <w:sz w:val="32"/>
          <w:szCs w:val="32"/>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月    </w:t>
      </w:r>
    </w:p>
    <w:p>
      <w:pPr>
        <w:pStyle w:val="6"/>
        <w:jc w:val="both"/>
        <w:rPr>
          <w:rFonts w:hint="eastAsia" w:ascii="Times New Roman" w:hAnsi="Times New Roman" w:eastAsia="方正小标宋_GBK" w:cs="Times New Roman"/>
          <w:b w:val="0"/>
          <w:bCs/>
          <w:sz w:val="44"/>
          <w:szCs w:val="44"/>
          <w:lang w:val="en-US" w:eastAsia="zh-CN"/>
        </w:rPr>
      </w:pPr>
    </w:p>
    <w:p>
      <w:pPr>
        <w:pStyle w:val="6"/>
        <w:ind w:firstLine="3080" w:firstLineChars="700"/>
        <w:jc w:val="both"/>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ab/>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一、谈 判 书</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w:t>
      </w:r>
      <w:r>
        <w:rPr>
          <w:rFonts w:hint="eastAsia" w:ascii="Times New Roman" w:hAnsi="Times New Roman" w:eastAsia="方正仿宋_GBK" w:cs="Times New Roman"/>
          <w:b w:val="0"/>
          <w:bCs/>
          <w:sz w:val="32"/>
          <w:szCs w:val="32"/>
          <w:u w:val="single"/>
          <w:lang w:val="en-US" w:eastAsia="zh-CN"/>
        </w:rPr>
        <w:t>10</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bookmarkStart w:id="0" w:name="_GoBack"/>
      <w:bookmarkEnd w:id="0"/>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rPr>
        <w:t>公章</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ind w:firstLine="2560" w:firstLineChars="800"/>
        <w:jc w:val="both"/>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1"/>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eastAsia" w:ascii="仿宋_GB2312" w:hAnsi="仿宋_GB2312" w:eastAsia="仿宋_GB2312" w:cs="仿宋_GB2312"/>
          <w:sz w:val="30"/>
          <w:szCs w:val="30"/>
        </w:rPr>
      </w:pPr>
    </w:p>
    <w:p>
      <w:pPr>
        <w:pStyle w:val="11"/>
        <w:rPr>
          <w:rFonts w:hint="eastAsia" w:ascii="仿宋_GB2312" w:hAnsi="仿宋_GB2312" w:eastAsia="仿宋_GB2312" w:cs="仿宋_GB2312"/>
          <w:sz w:val="30"/>
          <w:szCs w:val="30"/>
        </w:rPr>
      </w:pPr>
    </w:p>
    <w:p>
      <w:pPr>
        <w:rPr>
          <w:rFonts w:hint="eastAsia" w:ascii="仿宋_GB2312" w:hAnsi="仿宋_GB2312" w:eastAsia="仿宋_GB2312" w:cs="仿宋_GB2312"/>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233CC45E-8064-47AA-9303-9A354211DCE6}"/>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2" w:fontKey="{9F35A010-4C46-46F1-AC0A-8FC0FB67C4E8}"/>
  </w:font>
  <w:font w:name="仿宋_GB2312">
    <w:panose1 w:val="02010609030101010101"/>
    <w:charset w:val="86"/>
    <w:family w:val="auto"/>
    <w:pitch w:val="default"/>
    <w:sig w:usb0="00000001" w:usb1="080E0000" w:usb2="00000000" w:usb3="00000000" w:csb0="00040000" w:csb1="00000000"/>
    <w:embedRegular r:id="rId3" w:fontKey="{566F41BB-75A0-456F-9935-2C37AF6657D4}"/>
  </w:font>
  <w:font w:name="方正仿宋_GBK">
    <w:panose1 w:val="03000509000000000000"/>
    <w:charset w:val="86"/>
    <w:family w:val="auto"/>
    <w:pitch w:val="default"/>
    <w:sig w:usb0="00000001" w:usb1="080E0000" w:usb2="00000000" w:usb3="00000000" w:csb0="00040000" w:csb1="00000000"/>
    <w:embedRegular r:id="rId4" w:fontKey="{D7B4FDB3-EDDE-4F67-8039-A8125FDB0E32}"/>
  </w:font>
  <w:font w:name="方正黑体_GBK">
    <w:panose1 w:val="03000509000000000000"/>
    <w:charset w:val="86"/>
    <w:family w:val="auto"/>
    <w:pitch w:val="default"/>
    <w:sig w:usb0="00000001" w:usb1="080E0000" w:usb2="00000000" w:usb3="00000000" w:csb0="00040000" w:csb1="00000000"/>
    <w:embedRegular r:id="rId5" w:fontKey="{6B75BBC3-CE5A-4F64-9586-52A1115FF1F0}"/>
  </w:font>
  <w:font w:name="方正楷体_GBK">
    <w:panose1 w:val="03000509000000000000"/>
    <w:charset w:val="86"/>
    <w:family w:val="auto"/>
    <w:pitch w:val="default"/>
    <w:sig w:usb0="00000001" w:usb1="080E0000" w:usb2="00000000" w:usb3="00000000" w:csb0="00040000" w:csb1="00000000"/>
    <w:embedRegular r:id="rId6" w:fontKey="{E01C56E4-08A6-44D0-823E-48CA40784BC9}"/>
  </w:font>
  <w:font w:name="仿宋">
    <w:panose1 w:val="02010609060101010101"/>
    <w:charset w:val="86"/>
    <w:family w:val="modern"/>
    <w:pitch w:val="default"/>
    <w:sig w:usb0="800002BF" w:usb1="38CF7CFA" w:usb2="00000016" w:usb3="00000000" w:csb0="00040001" w:csb1="00000000"/>
    <w:embedRegular r:id="rId7" w:fontKey="{E955D3D9-F2DA-438B-816D-C6F6480C56A3}"/>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6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B9DDCC79"/>
    <w:multiLevelType w:val="singleLevel"/>
    <w:tmpl w:val="B9DDCC79"/>
    <w:lvl w:ilvl="0" w:tentative="0">
      <w:start w:val="3"/>
      <w:numFmt w:val="chineseCounting"/>
      <w:suff w:val="nothing"/>
      <w:lvlText w:val="（%1）"/>
      <w:lvlJc w:val="left"/>
      <w:rPr>
        <w:rFonts w:hint="eastAsia"/>
      </w:rPr>
    </w:lvl>
  </w:abstractNum>
  <w:abstractNum w:abstractNumId="3">
    <w:nsid w:val="0692FAAC"/>
    <w:multiLevelType w:val="singleLevel"/>
    <w:tmpl w:val="0692FAAC"/>
    <w:lvl w:ilvl="0" w:tentative="0">
      <w:start w:val="2"/>
      <w:numFmt w:val="decimal"/>
      <w:lvlText w:val="%1."/>
      <w:lvlJc w:val="left"/>
      <w:pPr>
        <w:tabs>
          <w:tab w:val="left" w:pos="312"/>
        </w:tabs>
      </w:pPr>
    </w:lvl>
  </w:abstractNum>
  <w:abstractNum w:abstractNumId="4">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E84657"/>
    <w:rsid w:val="04343C8D"/>
    <w:rsid w:val="04785EAF"/>
    <w:rsid w:val="049836FC"/>
    <w:rsid w:val="04C4125D"/>
    <w:rsid w:val="04E470A0"/>
    <w:rsid w:val="056C5A14"/>
    <w:rsid w:val="05FD0134"/>
    <w:rsid w:val="061614DB"/>
    <w:rsid w:val="06D53145"/>
    <w:rsid w:val="070103DE"/>
    <w:rsid w:val="07397B77"/>
    <w:rsid w:val="078F7797"/>
    <w:rsid w:val="082F2D28"/>
    <w:rsid w:val="084E7652"/>
    <w:rsid w:val="08775FB0"/>
    <w:rsid w:val="08DD09D6"/>
    <w:rsid w:val="08E41D65"/>
    <w:rsid w:val="099F3693"/>
    <w:rsid w:val="09C3197A"/>
    <w:rsid w:val="09C9545E"/>
    <w:rsid w:val="09E813E1"/>
    <w:rsid w:val="0AA42B38"/>
    <w:rsid w:val="0B221DB0"/>
    <w:rsid w:val="0BC47C2C"/>
    <w:rsid w:val="0BEB6F66"/>
    <w:rsid w:val="0C01513E"/>
    <w:rsid w:val="0C746D5A"/>
    <w:rsid w:val="0D703BC7"/>
    <w:rsid w:val="0D924D90"/>
    <w:rsid w:val="0DDB5C8A"/>
    <w:rsid w:val="0DE16873"/>
    <w:rsid w:val="0E2261F7"/>
    <w:rsid w:val="0F30456B"/>
    <w:rsid w:val="0F735BF1"/>
    <w:rsid w:val="0F9F39DA"/>
    <w:rsid w:val="0FCB2C8C"/>
    <w:rsid w:val="0FE555D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471F1F"/>
    <w:rsid w:val="137309EC"/>
    <w:rsid w:val="13A445CA"/>
    <w:rsid w:val="13B301DE"/>
    <w:rsid w:val="14425B91"/>
    <w:rsid w:val="144F489C"/>
    <w:rsid w:val="144F7C82"/>
    <w:rsid w:val="14863CD0"/>
    <w:rsid w:val="148F527B"/>
    <w:rsid w:val="14902DA1"/>
    <w:rsid w:val="14F223A7"/>
    <w:rsid w:val="15080B89"/>
    <w:rsid w:val="156344B4"/>
    <w:rsid w:val="15F027A3"/>
    <w:rsid w:val="1602382A"/>
    <w:rsid w:val="161B669A"/>
    <w:rsid w:val="16353C00"/>
    <w:rsid w:val="163D0D06"/>
    <w:rsid w:val="167504A0"/>
    <w:rsid w:val="16D8458B"/>
    <w:rsid w:val="174F484D"/>
    <w:rsid w:val="17667DE9"/>
    <w:rsid w:val="17932553"/>
    <w:rsid w:val="180169CE"/>
    <w:rsid w:val="18251A0C"/>
    <w:rsid w:val="185C01F0"/>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80C5D"/>
    <w:rsid w:val="1BAF6202"/>
    <w:rsid w:val="1C177CAC"/>
    <w:rsid w:val="1D7E7C3A"/>
    <w:rsid w:val="1DA20F3E"/>
    <w:rsid w:val="1E1E766F"/>
    <w:rsid w:val="1E3649B9"/>
    <w:rsid w:val="1E470974"/>
    <w:rsid w:val="1E547F3F"/>
    <w:rsid w:val="1E861550"/>
    <w:rsid w:val="1E9E3D60"/>
    <w:rsid w:val="1EC55E72"/>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2212FF"/>
    <w:rsid w:val="2A7F1496"/>
    <w:rsid w:val="2AA9206F"/>
    <w:rsid w:val="2ADE440E"/>
    <w:rsid w:val="2BDF4FB7"/>
    <w:rsid w:val="2C000766"/>
    <w:rsid w:val="2C0954BB"/>
    <w:rsid w:val="2C0D730D"/>
    <w:rsid w:val="2C35005E"/>
    <w:rsid w:val="2C9055DD"/>
    <w:rsid w:val="2CAE689D"/>
    <w:rsid w:val="2CE43832"/>
    <w:rsid w:val="2D4F6CE4"/>
    <w:rsid w:val="2DC53663"/>
    <w:rsid w:val="2DD90EBD"/>
    <w:rsid w:val="2EA750C4"/>
    <w:rsid w:val="2EC54B75"/>
    <w:rsid w:val="2ECB4CA9"/>
    <w:rsid w:val="2EFB7477"/>
    <w:rsid w:val="2F0D7070"/>
    <w:rsid w:val="2F6824F8"/>
    <w:rsid w:val="2F6F3847"/>
    <w:rsid w:val="2FCC711D"/>
    <w:rsid w:val="2FEE6EA1"/>
    <w:rsid w:val="303D7CE5"/>
    <w:rsid w:val="3099481D"/>
    <w:rsid w:val="30C61BCC"/>
    <w:rsid w:val="31132887"/>
    <w:rsid w:val="311566B0"/>
    <w:rsid w:val="31E85B72"/>
    <w:rsid w:val="31F936CE"/>
    <w:rsid w:val="323D7C6C"/>
    <w:rsid w:val="32904240"/>
    <w:rsid w:val="32981347"/>
    <w:rsid w:val="32CD49DA"/>
    <w:rsid w:val="331A7FAD"/>
    <w:rsid w:val="335350EB"/>
    <w:rsid w:val="33595683"/>
    <w:rsid w:val="33D60378"/>
    <w:rsid w:val="33DE547F"/>
    <w:rsid w:val="343307E1"/>
    <w:rsid w:val="34A246FE"/>
    <w:rsid w:val="34CC52D7"/>
    <w:rsid w:val="352C3FC8"/>
    <w:rsid w:val="355500FE"/>
    <w:rsid w:val="364367C1"/>
    <w:rsid w:val="36CF7301"/>
    <w:rsid w:val="378E529E"/>
    <w:rsid w:val="37DD387E"/>
    <w:rsid w:val="37FE0959"/>
    <w:rsid w:val="38174ABC"/>
    <w:rsid w:val="39477622"/>
    <w:rsid w:val="39ED2C41"/>
    <w:rsid w:val="3A1B0916"/>
    <w:rsid w:val="3A3F02FA"/>
    <w:rsid w:val="3A654204"/>
    <w:rsid w:val="3A9A304E"/>
    <w:rsid w:val="3B5207E5"/>
    <w:rsid w:val="3B697D24"/>
    <w:rsid w:val="3BC67FA0"/>
    <w:rsid w:val="3C3C5EE0"/>
    <w:rsid w:val="3C3E2F5F"/>
    <w:rsid w:val="3C6E0D0D"/>
    <w:rsid w:val="3CA1529C"/>
    <w:rsid w:val="3CE77152"/>
    <w:rsid w:val="3DC6320C"/>
    <w:rsid w:val="3E1C2E2C"/>
    <w:rsid w:val="3F0F1B8C"/>
    <w:rsid w:val="3FCA4B09"/>
    <w:rsid w:val="401F34D4"/>
    <w:rsid w:val="403326AF"/>
    <w:rsid w:val="406E7B8B"/>
    <w:rsid w:val="407231D7"/>
    <w:rsid w:val="40924768"/>
    <w:rsid w:val="409C5C81"/>
    <w:rsid w:val="40D23C76"/>
    <w:rsid w:val="40F55BB6"/>
    <w:rsid w:val="410D4CAE"/>
    <w:rsid w:val="416272F2"/>
    <w:rsid w:val="42CE4911"/>
    <w:rsid w:val="42ED123B"/>
    <w:rsid w:val="43414855"/>
    <w:rsid w:val="43B9736F"/>
    <w:rsid w:val="43E07272"/>
    <w:rsid w:val="43E31F32"/>
    <w:rsid w:val="440A1978"/>
    <w:rsid w:val="44315157"/>
    <w:rsid w:val="44CB2157"/>
    <w:rsid w:val="44D75CFE"/>
    <w:rsid w:val="4583725C"/>
    <w:rsid w:val="45A33E32"/>
    <w:rsid w:val="45C67B21"/>
    <w:rsid w:val="45F97144"/>
    <w:rsid w:val="46173604"/>
    <w:rsid w:val="46293B19"/>
    <w:rsid w:val="468E063F"/>
    <w:rsid w:val="46EE5581"/>
    <w:rsid w:val="4710374A"/>
    <w:rsid w:val="4799729B"/>
    <w:rsid w:val="47AC188B"/>
    <w:rsid w:val="47EA2EED"/>
    <w:rsid w:val="491F3DE7"/>
    <w:rsid w:val="49425710"/>
    <w:rsid w:val="495B0D1E"/>
    <w:rsid w:val="49A40179"/>
    <w:rsid w:val="49B62F47"/>
    <w:rsid w:val="4A6D4FFD"/>
    <w:rsid w:val="4AFC7AA4"/>
    <w:rsid w:val="4B1B26BD"/>
    <w:rsid w:val="4B3C4B0D"/>
    <w:rsid w:val="4B683D00"/>
    <w:rsid w:val="4B7F0E9E"/>
    <w:rsid w:val="4B971D44"/>
    <w:rsid w:val="4C07756B"/>
    <w:rsid w:val="4C080E93"/>
    <w:rsid w:val="4C4E41A9"/>
    <w:rsid w:val="4CAC73F3"/>
    <w:rsid w:val="4CD64AED"/>
    <w:rsid w:val="4D355CB8"/>
    <w:rsid w:val="4D8E2A71"/>
    <w:rsid w:val="4E163EB1"/>
    <w:rsid w:val="4E2C46FC"/>
    <w:rsid w:val="4E65437B"/>
    <w:rsid w:val="4EB66985"/>
    <w:rsid w:val="4EE554BC"/>
    <w:rsid w:val="4F3C1EBC"/>
    <w:rsid w:val="4FE15C83"/>
    <w:rsid w:val="50A5771A"/>
    <w:rsid w:val="517448D5"/>
    <w:rsid w:val="519C3F53"/>
    <w:rsid w:val="51AF491D"/>
    <w:rsid w:val="52B551A5"/>
    <w:rsid w:val="52D675F5"/>
    <w:rsid w:val="52FC0FB2"/>
    <w:rsid w:val="5350674E"/>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3B4656"/>
    <w:rsid w:val="59C503C4"/>
    <w:rsid w:val="59D12838"/>
    <w:rsid w:val="59E6393C"/>
    <w:rsid w:val="5A1804F3"/>
    <w:rsid w:val="5A2354F1"/>
    <w:rsid w:val="5A601E9A"/>
    <w:rsid w:val="5A871B1D"/>
    <w:rsid w:val="5AA1673B"/>
    <w:rsid w:val="5AB35E02"/>
    <w:rsid w:val="5AE66FB6"/>
    <w:rsid w:val="5B5F161C"/>
    <w:rsid w:val="5C341831"/>
    <w:rsid w:val="5C4B4EA1"/>
    <w:rsid w:val="5C621EFA"/>
    <w:rsid w:val="5C7A2D4A"/>
    <w:rsid w:val="5C93676D"/>
    <w:rsid w:val="5CC2690B"/>
    <w:rsid w:val="5CCA4EE8"/>
    <w:rsid w:val="5D3C274B"/>
    <w:rsid w:val="5D4D2BAA"/>
    <w:rsid w:val="5D641CA2"/>
    <w:rsid w:val="5DAA2F01"/>
    <w:rsid w:val="5DCF04FC"/>
    <w:rsid w:val="5E824AD5"/>
    <w:rsid w:val="5E845868"/>
    <w:rsid w:val="5EEE75DC"/>
    <w:rsid w:val="5F15142D"/>
    <w:rsid w:val="5F3A715E"/>
    <w:rsid w:val="60AE3960"/>
    <w:rsid w:val="60EC092C"/>
    <w:rsid w:val="60F24707"/>
    <w:rsid w:val="61896BF6"/>
    <w:rsid w:val="61C54B0A"/>
    <w:rsid w:val="61E67129"/>
    <w:rsid w:val="621A6DD3"/>
    <w:rsid w:val="62CA737D"/>
    <w:rsid w:val="6302457D"/>
    <w:rsid w:val="630E06E5"/>
    <w:rsid w:val="636B5B38"/>
    <w:rsid w:val="63A26001"/>
    <w:rsid w:val="63D57455"/>
    <w:rsid w:val="642B3519"/>
    <w:rsid w:val="64EF09EB"/>
    <w:rsid w:val="65192AF2"/>
    <w:rsid w:val="654C7545"/>
    <w:rsid w:val="65827169"/>
    <w:rsid w:val="65EB05DD"/>
    <w:rsid w:val="66815672"/>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CF1FE4"/>
    <w:rsid w:val="71E80C9B"/>
    <w:rsid w:val="71F924BE"/>
    <w:rsid w:val="725B14BE"/>
    <w:rsid w:val="725F0F5E"/>
    <w:rsid w:val="728A3B01"/>
    <w:rsid w:val="72F24B59"/>
    <w:rsid w:val="735D2FC3"/>
    <w:rsid w:val="73752873"/>
    <w:rsid w:val="73970283"/>
    <w:rsid w:val="73A05EA0"/>
    <w:rsid w:val="7456638F"/>
    <w:rsid w:val="747E41BC"/>
    <w:rsid w:val="74A0760B"/>
    <w:rsid w:val="74BC08C2"/>
    <w:rsid w:val="74EE3A66"/>
    <w:rsid w:val="74F11C15"/>
    <w:rsid w:val="755521A4"/>
    <w:rsid w:val="75691439"/>
    <w:rsid w:val="76A9008C"/>
    <w:rsid w:val="770E3E70"/>
    <w:rsid w:val="7771703D"/>
    <w:rsid w:val="778B6351"/>
    <w:rsid w:val="77A051BD"/>
    <w:rsid w:val="77AD62C7"/>
    <w:rsid w:val="78BC6898"/>
    <w:rsid w:val="78F87A16"/>
    <w:rsid w:val="79142376"/>
    <w:rsid w:val="79200D1B"/>
    <w:rsid w:val="7924080B"/>
    <w:rsid w:val="793B189D"/>
    <w:rsid w:val="798E117E"/>
    <w:rsid w:val="799F7E92"/>
    <w:rsid w:val="7A102B3D"/>
    <w:rsid w:val="7A434CC1"/>
    <w:rsid w:val="7A6F5AB6"/>
    <w:rsid w:val="7A93026F"/>
    <w:rsid w:val="7AD8185C"/>
    <w:rsid w:val="7AE860BC"/>
    <w:rsid w:val="7B1E74DC"/>
    <w:rsid w:val="7B7834C5"/>
    <w:rsid w:val="7BB06386"/>
    <w:rsid w:val="7BC41E31"/>
    <w:rsid w:val="7C903B5C"/>
    <w:rsid w:val="7CE04A49"/>
    <w:rsid w:val="7D360D32"/>
    <w:rsid w:val="7DA71A0B"/>
    <w:rsid w:val="7E891110"/>
    <w:rsid w:val="7EB32494"/>
    <w:rsid w:val="7EF667A6"/>
    <w:rsid w:val="7FB65F35"/>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0"/>
    <w:pPr>
      <w:keepNext/>
      <w:keepLines/>
      <w:spacing w:line="560" w:lineRule="exact"/>
      <w:ind w:firstLine="640"/>
      <w:outlineLvl w:val="1"/>
    </w:pPr>
    <w:rPr>
      <w:rFonts w:eastAsia="黑体"/>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Body Text First Indent 2"/>
    <w:basedOn w:val="5"/>
    <w:unhideWhenUsed/>
    <w:qFormat/>
    <w:uiPriority w:val="99"/>
    <w:pPr>
      <w:ind w:firstLine="420" w:firstLineChars="200"/>
    </w:pPr>
  </w:style>
  <w:style w:type="character" w:styleId="14">
    <w:name w:val="page number"/>
    <w:basedOn w:val="13"/>
    <w:qFormat/>
    <w:uiPriority w:val="0"/>
  </w:style>
  <w:style w:type="character" w:styleId="15">
    <w:name w:val="footnote reference"/>
    <w:basedOn w:val="13"/>
    <w:qFormat/>
    <w:uiPriority w:val="0"/>
    <w:rPr>
      <w:vertAlign w:val="superscript"/>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Normal Indent1"/>
    <w:basedOn w:val="1"/>
    <w:qFormat/>
    <w:uiPriority w:val="0"/>
    <w:pPr>
      <w:ind w:firstLine="420" w:firstLineChars="200"/>
    </w:pPr>
    <w:rPr>
      <w:rFonts w:ascii="Calibri" w:hAnsi="Calibri" w:eastAsia="宋体"/>
    </w:rPr>
  </w:style>
  <w:style w:type="paragraph" w:customStyle="1" w:styleId="18">
    <w:name w:val="Body text|1"/>
    <w:basedOn w:val="1"/>
    <w:qFormat/>
    <w:uiPriority w:val="0"/>
    <w:pPr>
      <w:spacing w:line="420" w:lineRule="auto"/>
      <w:ind w:firstLine="400"/>
    </w:pPr>
    <w:rPr>
      <w:rFonts w:ascii="宋体" w:hAnsi="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35</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dcterms:modified xsi:type="dcterms:W3CDTF">2022-07-29T00:56:52Z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