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2209</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default" w:ascii="Times New Roman" w:hAnsi="Times New Roman" w:eastAsia="仿宋_GB2312" w:cs="Times New Roman"/>
          <w:sz w:val="32"/>
          <w:szCs w:val="32"/>
        </w:rPr>
      </w:pPr>
    </w:p>
    <w:p>
      <w:pPr>
        <w:pStyle w:val="6"/>
        <w:rPr>
          <w:rFonts w:hint="default" w:ascii="Times New Roman" w:hAnsi="Times New Roman" w:eastAsia="仿宋_GB2312" w:cs="Times New Roman"/>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6"/>
        <w:ind w:left="0" w:leftChars="0" w:firstLine="1059" w:firstLineChars="331"/>
        <w:jc w:val="left"/>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rPr>
      </w:pPr>
    </w:p>
    <w:p>
      <w:pPr>
        <w:pStyle w:val="6"/>
        <w:rPr>
          <w:rFonts w:hint="default" w:ascii="Times New Roman" w:hAnsi="Times New Roman" w:eastAsia="仿宋_GB2312" w:cs="Times New Roman"/>
          <w:bCs/>
        </w:rPr>
      </w:pPr>
    </w:p>
    <w:p>
      <w:pPr>
        <w:pStyle w:val="6"/>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曲靖市财政局按《曲靖市财政局机关采购管理实施细则（试行）》的要求2021年度权责发生制政府综合财务报告编审业务委托服务进行竞争性谈判采购，欢迎你公司参加。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2209</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color w:val="000000" w:themeColor="text1"/>
          <w:kern w:val="2"/>
          <w:sz w:val="28"/>
          <w:szCs w:val="28"/>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default" w:ascii="Times New Roman" w:hAnsi="Times New Roman" w:eastAsia="方正仿宋_GBK" w:cs="Times New Roman"/>
          <w:b w:val="0"/>
          <w:bCs/>
          <w:sz w:val="28"/>
          <w:szCs w:val="28"/>
          <w:lang w:val="en-US" w:eastAsia="zh-CN"/>
        </w:rPr>
        <w:t>2021年度权责发生制政府综合财务报告编审业务委托服务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2022年7月15日15:00（（北京时间）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2022年7月 15日15:00（北京时间）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rPr>
          <w:rFonts w:hint="default" w:ascii="Times New Roman" w:hAnsi="Times New Roman" w:cs="Times New Roman"/>
          <w:lang w:val="en-US" w:eastAsia="zh-CN"/>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 xml:space="preserve">    11.报名截止时间：2022年7月14日</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default" w:ascii="Times New Roman" w:hAnsi="Times New Roman" w:eastAsia="仿宋_GB2312"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2022年7月7日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default" w:ascii="Times New Roman" w:hAnsi="Times New Roman" w:eastAsia="仿宋_GB2312" w:cs="Times New Roman"/>
          <w:b w:val="0"/>
          <w:bCs/>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default" w:ascii="Times New Roman" w:hAnsi="Times New Roman" w:eastAsia="仿宋_GB2312" w:cs="Times New Roman"/>
          <w:b w:val="0"/>
          <w:bCs/>
          <w:sz w:val="44"/>
          <w:szCs w:val="44"/>
        </w:rPr>
      </w:pPr>
      <w:r>
        <w:rPr>
          <w:rFonts w:hint="default" w:ascii="Times New Roman" w:hAnsi="Times New Roman" w:eastAsia="仿宋_GB2312" w:cs="Times New Roman"/>
          <w:b w:val="0"/>
          <w:bCs/>
          <w:sz w:val="32"/>
          <w:szCs w:val="32"/>
        </w:rPr>
        <w:t xml:space="preserve">                     </w:t>
      </w: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1"/>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w:t>
            </w:r>
            <w:r>
              <w:rPr>
                <w:rFonts w:hint="eastAsia" w:eastAsia="仿宋_GB2312" w:cs="Times New Roman"/>
                <w:sz w:val="32"/>
                <w:szCs w:val="32"/>
                <w:lang w:val="en-US" w:eastAsia="zh-CN"/>
              </w:rPr>
              <w:t>2</w:t>
            </w:r>
            <w:bookmarkStart w:id="0" w:name="_GoBack"/>
            <w:bookmarkEnd w:id="0"/>
            <w:r>
              <w:rPr>
                <w:rFonts w:hint="default" w:ascii="Times New Roman" w:hAnsi="Times New Roman" w:eastAsia="仿宋_GB2312" w:cs="Times New Roman"/>
                <w:sz w:val="32"/>
                <w:szCs w:val="32"/>
                <w:lang w:val="en-US" w:eastAsia="zh-CN"/>
              </w:rPr>
              <w:t>000</w:t>
            </w: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本项目不接受联合体响应。</w:t>
      </w:r>
    </w:p>
    <w:p>
      <w:pPr>
        <w:pStyle w:val="6"/>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服务质量（能够公平、公正按照代理程序完成代理服务工作）</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3、验收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2"/>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6"/>
        <w:jc w:val="both"/>
        <w:rPr>
          <w:rFonts w:hint="default" w:ascii="Times New Roman" w:hAnsi="Times New Roman" w:eastAsia="仿宋_GB2312" w:cs="Times New Roman"/>
          <w:b/>
          <w:kern w:val="0"/>
          <w:sz w:val="30"/>
          <w:szCs w:val="30"/>
          <w:lang w:val="en-US" w:eastAsia="zh-CN" w:bidi="ar"/>
        </w:rPr>
      </w:pPr>
    </w:p>
    <w:p>
      <w:pPr>
        <w:pStyle w:val="16"/>
        <w:rPr>
          <w:rFonts w:hint="default" w:ascii="Times New Roman" w:hAnsi="Times New Roman" w:eastAsia="仿宋_GB2312" w:cs="Times New Roman"/>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一、项目实施内容：</w:t>
      </w:r>
    </w:p>
    <w:p>
      <w:pPr>
        <w:keepNext w:val="0"/>
        <w:keepLines w:val="0"/>
        <w:pageBreakBefore w:val="0"/>
        <w:widowControl w:val="0"/>
        <w:kinsoku/>
        <w:wordWrap/>
        <w:overflowPunct/>
        <w:topLinePunct w:val="0"/>
        <w:bidi w:val="0"/>
        <w:snapToGrid/>
        <w:spacing w:line="600" w:lineRule="exact"/>
        <w:ind w:firstLine="600" w:firstLineChars="200"/>
        <w:textAlignment w:val="auto"/>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val="en-US" w:eastAsia="zh-CN"/>
        </w:rPr>
        <w:t>委托乙方</w:t>
      </w:r>
      <w:r>
        <w:rPr>
          <w:rFonts w:hint="default" w:ascii="Times New Roman" w:hAnsi="Times New Roman" w:eastAsia="方正仿宋_GBK" w:cs="Times New Roman"/>
          <w:sz w:val="30"/>
          <w:szCs w:val="30"/>
          <w:lang w:eastAsia="zh-CN"/>
        </w:rPr>
        <w:t>负责对曲靖市</w:t>
      </w:r>
      <w:r>
        <w:rPr>
          <w:rFonts w:hint="default" w:ascii="Times New Roman" w:hAnsi="Times New Roman" w:eastAsia="方正仿宋_GBK" w:cs="Times New Roman"/>
          <w:sz w:val="30"/>
          <w:szCs w:val="30"/>
        </w:rPr>
        <w:t>编制202</w:t>
      </w:r>
      <w:r>
        <w:rPr>
          <w:rFonts w:hint="default" w:ascii="Times New Roman" w:hAnsi="Times New Roman" w:eastAsia="方正仿宋_GBK" w:cs="Times New Roman"/>
          <w:sz w:val="30"/>
          <w:szCs w:val="30"/>
          <w:lang w:eastAsia="zh-CN"/>
        </w:rPr>
        <w:t>度</w:t>
      </w:r>
      <w:r>
        <w:rPr>
          <w:rFonts w:hint="default" w:ascii="Times New Roman" w:hAnsi="Times New Roman" w:eastAsia="方正仿宋_GBK" w:cs="Times New Roman"/>
          <w:sz w:val="30"/>
          <w:szCs w:val="30"/>
        </w:rPr>
        <w:t>财报（</w:t>
      </w:r>
      <w:r>
        <w:rPr>
          <w:rFonts w:hint="default" w:ascii="Times New Roman" w:hAnsi="Times New Roman" w:eastAsia="方正仿宋_GBK" w:cs="Times New Roman"/>
          <w:sz w:val="30"/>
          <w:szCs w:val="30"/>
          <w:lang w:eastAsia="zh-CN"/>
        </w:rPr>
        <w:t>包括</w:t>
      </w:r>
      <w:r>
        <w:rPr>
          <w:rFonts w:hint="default" w:ascii="Times New Roman" w:hAnsi="Times New Roman" w:eastAsia="方正仿宋_GBK" w:cs="Times New Roman"/>
          <w:sz w:val="30"/>
          <w:szCs w:val="30"/>
        </w:rPr>
        <w:t>资产负债表、收入费用表以及财务报表附注、财务分析报告</w:t>
      </w:r>
      <w:r>
        <w:rPr>
          <w:rFonts w:hint="default" w:ascii="Times New Roman" w:hAnsi="Times New Roman" w:eastAsia="方正仿宋_GBK" w:cs="Times New Roman"/>
          <w:sz w:val="30"/>
          <w:szCs w:val="30"/>
          <w:lang w:eastAsia="zh-CN"/>
        </w:rPr>
        <w:t>等</w:t>
      </w:r>
      <w:r>
        <w:rPr>
          <w:rFonts w:hint="default" w:ascii="Times New Roman" w:hAnsi="Times New Roman" w:eastAsia="方正仿宋_GBK" w:cs="Times New Roman"/>
          <w:sz w:val="30"/>
          <w:szCs w:val="30"/>
        </w:rPr>
        <w:t>）</w:t>
      </w:r>
      <w:r>
        <w:rPr>
          <w:rFonts w:hint="default" w:ascii="Times New Roman" w:hAnsi="Times New Roman" w:eastAsia="方正仿宋_GBK" w:cs="Times New Roman"/>
          <w:sz w:val="30"/>
          <w:szCs w:val="30"/>
          <w:lang w:eastAsia="zh-CN"/>
        </w:rPr>
        <w:t>相关</w:t>
      </w:r>
      <w:r>
        <w:rPr>
          <w:rFonts w:hint="default" w:ascii="Times New Roman" w:hAnsi="Times New Roman" w:eastAsia="方正仿宋_GBK" w:cs="Times New Roman"/>
          <w:sz w:val="30"/>
          <w:szCs w:val="30"/>
        </w:rPr>
        <w:t>工作进行</w:t>
      </w:r>
      <w:r>
        <w:rPr>
          <w:rFonts w:hint="default" w:ascii="Times New Roman" w:hAnsi="Times New Roman" w:eastAsia="方正仿宋_GBK" w:cs="Times New Roman"/>
          <w:sz w:val="30"/>
          <w:szCs w:val="30"/>
          <w:lang w:eastAsia="zh-CN"/>
        </w:rPr>
        <w:t>系统维护、</w:t>
      </w:r>
      <w:r>
        <w:rPr>
          <w:rFonts w:hint="default" w:ascii="Times New Roman" w:hAnsi="Times New Roman" w:eastAsia="方正仿宋_GBK" w:cs="Times New Roman"/>
          <w:sz w:val="30"/>
          <w:szCs w:val="30"/>
        </w:rPr>
        <w:t>操作指导</w:t>
      </w:r>
      <w:r>
        <w:rPr>
          <w:rFonts w:hint="default"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业务咨询</w:t>
      </w:r>
      <w:r>
        <w:rPr>
          <w:rFonts w:hint="default" w:ascii="Times New Roman" w:hAnsi="Times New Roman" w:eastAsia="方正仿宋_GBK" w:cs="Times New Roman"/>
          <w:sz w:val="30"/>
          <w:szCs w:val="30"/>
          <w:lang w:eastAsia="zh-CN"/>
        </w:rPr>
        <w:t>、会审等</w:t>
      </w:r>
      <w:r>
        <w:rPr>
          <w:rFonts w:hint="default" w:ascii="Times New Roman" w:hAnsi="Times New Roman" w:eastAsia="方正仿宋_GBK" w:cs="Times New Roman"/>
          <w:sz w:val="30"/>
          <w:szCs w:val="30"/>
        </w:rPr>
        <w:t>服务，</w:t>
      </w:r>
      <w:r>
        <w:rPr>
          <w:rFonts w:hint="default" w:ascii="Times New Roman" w:hAnsi="Times New Roman" w:eastAsia="方正仿宋_GBK" w:cs="Times New Roman"/>
          <w:sz w:val="30"/>
          <w:szCs w:val="30"/>
          <w:lang w:eastAsia="zh-CN"/>
        </w:rPr>
        <w:t>配合完成全市</w:t>
      </w:r>
      <w:r>
        <w:rPr>
          <w:rFonts w:hint="default" w:ascii="Times New Roman" w:hAnsi="Times New Roman" w:eastAsia="方正仿宋_GBK" w:cs="Times New Roman"/>
          <w:sz w:val="30"/>
          <w:szCs w:val="30"/>
        </w:rPr>
        <w:t>各</w:t>
      </w:r>
      <w:r>
        <w:rPr>
          <w:rFonts w:hint="default" w:ascii="Times New Roman" w:hAnsi="Times New Roman" w:eastAsia="方正仿宋_GBK" w:cs="Times New Roman"/>
          <w:sz w:val="30"/>
          <w:szCs w:val="30"/>
          <w:lang w:eastAsia="zh-CN"/>
        </w:rPr>
        <w:t>级编制单位的财报编审上报工作。</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二、具体要求：</w:t>
      </w:r>
    </w:p>
    <w:p>
      <w:pPr>
        <w:keepNext w:val="0"/>
        <w:keepLines w:val="0"/>
        <w:pageBreakBefore w:val="0"/>
        <w:widowControl w:val="0"/>
        <w:kinsoku/>
        <w:wordWrap/>
        <w:overflowPunct/>
        <w:topLinePunct w:val="0"/>
        <w:bidi w:val="0"/>
        <w:snapToGrid/>
        <w:spacing w:line="600" w:lineRule="exact"/>
        <w:ind w:firstLine="600" w:firstLineChars="200"/>
        <w:textAlignment w:val="auto"/>
        <w:rPr>
          <w:rFonts w:hint="default" w:ascii="Times New Roman" w:hAnsi="Times New Roman" w:eastAsia="方正仿宋_GBK" w:cs="Times New Roman"/>
          <w:color w:val="FF0000"/>
          <w:sz w:val="30"/>
          <w:szCs w:val="30"/>
        </w:rPr>
      </w:pPr>
      <w:r>
        <w:rPr>
          <w:rFonts w:hint="default" w:ascii="Times New Roman" w:hAnsi="Times New Roman" w:eastAsia="方正仿宋_GBK" w:cs="Times New Roman"/>
          <w:sz w:val="30"/>
          <w:szCs w:val="30"/>
        </w:rPr>
        <w:t>（1）对财报编报质量进行把关，严格按《</w:t>
      </w:r>
      <w:r>
        <w:rPr>
          <w:rFonts w:hint="default" w:ascii="Times New Roman" w:hAnsi="Times New Roman" w:eastAsia="方正仿宋_GBK" w:cs="Times New Roman"/>
          <w:sz w:val="30"/>
          <w:szCs w:val="30"/>
          <w:lang w:eastAsia="zh-CN"/>
        </w:rPr>
        <w:t>云南省</w:t>
      </w:r>
      <w:r>
        <w:rPr>
          <w:rFonts w:hint="default" w:ascii="Times New Roman" w:hAnsi="Times New Roman" w:eastAsia="方正仿宋_GBK" w:cs="Times New Roman"/>
          <w:sz w:val="30"/>
          <w:szCs w:val="30"/>
        </w:rPr>
        <w:t>财政</w:t>
      </w:r>
      <w:r>
        <w:rPr>
          <w:rFonts w:hint="default" w:ascii="Times New Roman" w:hAnsi="Times New Roman" w:eastAsia="方正仿宋_GBK" w:cs="Times New Roman"/>
          <w:sz w:val="30"/>
          <w:szCs w:val="30"/>
          <w:lang w:eastAsia="zh-CN"/>
        </w:rPr>
        <w:t>厅</w:t>
      </w:r>
      <w:r>
        <w:rPr>
          <w:rFonts w:hint="default" w:ascii="Times New Roman" w:hAnsi="Times New Roman" w:eastAsia="方正仿宋_GBK" w:cs="Times New Roman"/>
          <w:sz w:val="30"/>
          <w:szCs w:val="30"/>
        </w:rPr>
        <w:t>关于开展202</w:t>
      </w:r>
      <w:r>
        <w:rPr>
          <w:rFonts w:hint="default" w:ascii="Times New Roman" w:hAnsi="Times New Roman" w:eastAsia="方正仿宋_GBK" w:cs="Times New Roman"/>
          <w:sz w:val="30"/>
          <w:szCs w:val="30"/>
          <w:lang w:val="en-US" w:eastAsia="zh-CN"/>
        </w:rPr>
        <w:t>1</w:t>
      </w:r>
      <w:r>
        <w:rPr>
          <w:rFonts w:hint="default" w:ascii="Times New Roman" w:hAnsi="Times New Roman" w:eastAsia="方正仿宋_GBK" w:cs="Times New Roman"/>
          <w:sz w:val="30"/>
          <w:szCs w:val="30"/>
        </w:rPr>
        <w:t>年度政府财务报告编报工作的通知》(</w:t>
      </w:r>
      <w:r>
        <w:rPr>
          <w:rFonts w:hint="default" w:ascii="Times New Roman" w:hAnsi="Times New Roman" w:eastAsia="方正仿宋_GBK" w:cs="Times New Roman"/>
          <w:sz w:val="30"/>
          <w:szCs w:val="30"/>
          <w:lang w:eastAsia="zh-CN"/>
        </w:rPr>
        <w:t>云</w:t>
      </w:r>
      <w:r>
        <w:rPr>
          <w:rFonts w:hint="default" w:ascii="Times New Roman" w:hAnsi="Times New Roman" w:eastAsia="方正仿宋_GBK" w:cs="Times New Roman"/>
          <w:sz w:val="30"/>
          <w:szCs w:val="30"/>
        </w:rPr>
        <w:t>财库〔202</w:t>
      </w:r>
      <w:r>
        <w:rPr>
          <w:rFonts w:hint="default" w:ascii="Times New Roman" w:hAnsi="Times New Roman" w:eastAsia="方正仿宋_GBK" w:cs="Times New Roman"/>
          <w:sz w:val="30"/>
          <w:szCs w:val="30"/>
          <w:lang w:val="en-US" w:eastAsia="zh-CN"/>
        </w:rPr>
        <w:t>2</w:t>
      </w:r>
      <w:r>
        <w:rPr>
          <w:rFonts w:hint="default" w:ascii="Times New Roman" w:hAnsi="Times New Roman" w:eastAsia="方正仿宋_GBK" w:cs="Times New Roman"/>
          <w:sz w:val="30"/>
          <w:szCs w:val="30"/>
        </w:rPr>
        <w:t>〕</w:t>
      </w:r>
      <w:r>
        <w:rPr>
          <w:rFonts w:hint="default" w:ascii="Times New Roman" w:hAnsi="Times New Roman" w:eastAsia="方正仿宋_GBK" w:cs="Times New Roman"/>
          <w:sz w:val="30"/>
          <w:szCs w:val="30"/>
          <w:lang w:val="en-US" w:eastAsia="zh-CN"/>
        </w:rPr>
        <w:t>7</w:t>
      </w:r>
      <w:r>
        <w:rPr>
          <w:rFonts w:hint="default" w:ascii="Times New Roman" w:hAnsi="Times New Roman" w:eastAsia="方正仿宋_GBK" w:cs="Times New Roman"/>
          <w:sz w:val="30"/>
          <w:szCs w:val="30"/>
        </w:rPr>
        <w:t>号)</w:t>
      </w:r>
      <w:r>
        <w:rPr>
          <w:rFonts w:hint="default" w:ascii="Times New Roman" w:hAnsi="Times New Roman" w:eastAsia="方正仿宋_GBK" w:cs="Times New Roman"/>
          <w:color w:val="auto"/>
          <w:sz w:val="30"/>
          <w:szCs w:val="30"/>
          <w:lang w:eastAsia="zh-CN"/>
        </w:rPr>
        <w:t>的规定及云南省财政厅的编报要求为</w:t>
      </w:r>
      <w:r>
        <w:rPr>
          <w:rFonts w:hint="default" w:ascii="Times New Roman" w:hAnsi="Times New Roman" w:eastAsia="方正仿宋_GBK" w:cs="Times New Roman"/>
          <w:color w:val="auto"/>
          <w:sz w:val="30"/>
          <w:szCs w:val="30"/>
          <w:lang w:val="en-US" w:eastAsia="zh-CN"/>
        </w:rPr>
        <w:t>财报编报</w:t>
      </w:r>
      <w:r>
        <w:rPr>
          <w:rFonts w:hint="default" w:ascii="Times New Roman" w:hAnsi="Times New Roman" w:eastAsia="方正仿宋_GBK" w:cs="Times New Roman"/>
          <w:color w:val="auto"/>
          <w:sz w:val="30"/>
          <w:szCs w:val="30"/>
          <w:lang w:eastAsia="zh-CN"/>
        </w:rPr>
        <w:t>单位提供编报运维服务、编报相关业务咨询、审核财报质量等服务。</w:t>
      </w:r>
    </w:p>
    <w:p>
      <w:pPr>
        <w:keepNext w:val="0"/>
        <w:keepLines w:val="0"/>
        <w:pageBreakBefore w:val="0"/>
        <w:widowControl w:val="0"/>
        <w:kinsoku/>
        <w:wordWrap/>
        <w:overflowPunct/>
        <w:topLinePunct w:val="0"/>
        <w:bidi w:val="0"/>
        <w:snapToGrid/>
        <w:spacing w:line="600" w:lineRule="exact"/>
        <w:ind w:firstLine="600" w:firstLineChars="200"/>
        <w:textAlignment w:val="auto"/>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（2）根据</w:t>
      </w:r>
      <w:r>
        <w:rPr>
          <w:rFonts w:hint="default" w:ascii="Times New Roman" w:hAnsi="Times New Roman" w:eastAsia="方正仿宋_GBK" w:cs="Times New Roman"/>
          <w:sz w:val="30"/>
          <w:szCs w:val="30"/>
          <w:lang w:val="en-US" w:eastAsia="zh-CN"/>
        </w:rPr>
        <w:t>市财政局</w:t>
      </w:r>
      <w:r>
        <w:rPr>
          <w:rFonts w:hint="default" w:ascii="Times New Roman" w:hAnsi="Times New Roman" w:eastAsia="方正仿宋_GBK" w:cs="Times New Roman"/>
          <w:sz w:val="30"/>
          <w:szCs w:val="30"/>
        </w:rPr>
        <w:t>提供的编报资料，严格审核财报数据的关联性、逻辑性，提升财报数据的准确性，确保财报在所有重大方面</w:t>
      </w:r>
      <w:r>
        <w:rPr>
          <w:rFonts w:hint="default" w:ascii="Times New Roman" w:hAnsi="Times New Roman" w:eastAsia="方正仿宋_GBK" w:cs="Times New Roman"/>
          <w:sz w:val="30"/>
          <w:szCs w:val="30"/>
          <w:lang w:eastAsia="zh-CN"/>
        </w:rPr>
        <w:t>准确</w:t>
      </w:r>
      <w:r>
        <w:rPr>
          <w:rFonts w:hint="default" w:ascii="Times New Roman" w:hAnsi="Times New Roman" w:eastAsia="方正仿宋_GBK" w:cs="Times New Roman"/>
          <w:sz w:val="30"/>
          <w:szCs w:val="30"/>
        </w:rPr>
        <w:t>反映各级政府部门、各预算单位</w:t>
      </w:r>
      <w:r>
        <w:rPr>
          <w:rFonts w:hint="default" w:ascii="Times New Roman" w:hAnsi="Times New Roman" w:eastAsia="方正仿宋_GBK" w:cs="Times New Roman"/>
          <w:sz w:val="30"/>
          <w:szCs w:val="30"/>
          <w:lang w:eastAsia="zh-CN"/>
        </w:rPr>
        <w:t>截止</w:t>
      </w:r>
      <w:r>
        <w:rPr>
          <w:rFonts w:hint="default" w:ascii="Times New Roman" w:hAnsi="Times New Roman" w:eastAsia="方正仿宋_GBK" w:cs="Times New Roman"/>
          <w:sz w:val="30"/>
          <w:szCs w:val="30"/>
        </w:rPr>
        <w:t>202</w:t>
      </w:r>
      <w:r>
        <w:rPr>
          <w:rFonts w:hint="default" w:ascii="Times New Roman" w:hAnsi="Times New Roman" w:eastAsia="方正仿宋_GBK" w:cs="Times New Roman"/>
          <w:sz w:val="30"/>
          <w:szCs w:val="30"/>
          <w:lang w:val="en-US" w:eastAsia="zh-CN"/>
        </w:rPr>
        <w:t>1</w:t>
      </w:r>
      <w:r>
        <w:rPr>
          <w:rFonts w:hint="default" w:ascii="Times New Roman" w:hAnsi="Times New Roman" w:eastAsia="方正仿宋_GBK" w:cs="Times New Roman"/>
          <w:sz w:val="30"/>
          <w:szCs w:val="30"/>
        </w:rPr>
        <w:t>年12月31日的财务状况、202</w:t>
      </w:r>
      <w:r>
        <w:rPr>
          <w:rFonts w:hint="default" w:ascii="Times New Roman" w:hAnsi="Times New Roman" w:eastAsia="方正仿宋_GBK" w:cs="Times New Roman"/>
          <w:sz w:val="30"/>
          <w:szCs w:val="30"/>
          <w:lang w:val="en-US" w:eastAsia="zh-CN"/>
        </w:rPr>
        <w:t>1</w:t>
      </w:r>
      <w:r>
        <w:rPr>
          <w:rFonts w:hint="default" w:ascii="Times New Roman" w:hAnsi="Times New Roman" w:eastAsia="方正仿宋_GBK" w:cs="Times New Roman"/>
          <w:sz w:val="30"/>
          <w:szCs w:val="30"/>
        </w:rPr>
        <w:t>年度的运行情况。</w:t>
      </w:r>
    </w:p>
    <w:p>
      <w:pPr>
        <w:keepNext w:val="0"/>
        <w:keepLines w:val="0"/>
        <w:pageBreakBefore w:val="0"/>
        <w:widowControl w:val="0"/>
        <w:tabs>
          <w:tab w:val="left" w:pos="625"/>
        </w:tabs>
        <w:kinsoku/>
        <w:wordWrap/>
        <w:overflowPunct/>
        <w:topLinePunct w:val="0"/>
        <w:bidi w:val="0"/>
        <w:snapToGrid/>
        <w:spacing w:line="600" w:lineRule="exact"/>
        <w:ind w:firstLine="600" w:firstLineChars="200"/>
        <w:textAlignment w:val="auto"/>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（3）协助</w:t>
      </w:r>
      <w:r>
        <w:rPr>
          <w:rFonts w:hint="default" w:ascii="Times New Roman" w:hAnsi="Times New Roman" w:eastAsia="方正仿宋_GBK" w:cs="Times New Roman"/>
          <w:sz w:val="30"/>
          <w:szCs w:val="30"/>
          <w:lang w:eastAsia="zh-CN"/>
        </w:rPr>
        <w:t>市</w:t>
      </w:r>
      <w:r>
        <w:rPr>
          <w:rFonts w:hint="default" w:ascii="Times New Roman" w:hAnsi="Times New Roman" w:eastAsia="方正仿宋_GBK" w:cs="Times New Roman"/>
          <w:sz w:val="30"/>
          <w:szCs w:val="30"/>
        </w:rPr>
        <w:t>财政局综合分析政府整体财务状况、运行情况和财政中长期可持续性，协助各预算单位、主管部门撰写财务分析报告。</w:t>
      </w:r>
    </w:p>
    <w:p>
      <w:pPr>
        <w:keepNext w:val="0"/>
        <w:keepLines w:val="0"/>
        <w:pageBreakBefore w:val="0"/>
        <w:widowControl w:val="0"/>
        <w:tabs>
          <w:tab w:val="left" w:pos="625"/>
        </w:tabs>
        <w:kinsoku/>
        <w:wordWrap/>
        <w:overflowPunct/>
        <w:topLinePunct w:val="0"/>
        <w:bidi w:val="0"/>
        <w:snapToGrid/>
        <w:spacing w:line="600" w:lineRule="exact"/>
        <w:ind w:firstLine="600" w:firstLineChars="200"/>
        <w:textAlignment w:val="auto"/>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（4）根据云南省财政厅的要求，协助完成财报区县（市）级会审、市级会审、厅级会审工作，并对会审过程中发现的问题协助修改</w:t>
      </w:r>
      <w:r>
        <w:rPr>
          <w:rFonts w:hint="default" w:ascii="Times New Roman" w:hAnsi="Times New Roman" w:eastAsia="方正仿宋_GBK" w:cs="Times New Roman"/>
          <w:sz w:val="30"/>
          <w:szCs w:val="30"/>
          <w:lang w:eastAsia="zh-CN"/>
        </w:rPr>
        <w:t>，直至财政部会审结束</w:t>
      </w:r>
      <w:r>
        <w:rPr>
          <w:rFonts w:hint="default" w:ascii="Times New Roman" w:hAnsi="Times New Roman" w:eastAsia="方正仿宋_GBK" w:cs="Times New Roman"/>
          <w:sz w:val="30"/>
          <w:szCs w:val="30"/>
        </w:rPr>
        <w:t>。</w:t>
      </w:r>
    </w:p>
    <w:p>
      <w:pPr>
        <w:pStyle w:val="15"/>
        <w:keepNext w:val="0"/>
        <w:keepLines w:val="0"/>
        <w:pageBreakBefore w:val="0"/>
        <w:widowControl w:val="0"/>
        <w:kinsoku/>
        <w:wordWrap/>
        <w:overflowPunct/>
        <w:topLinePunct w:val="0"/>
        <w:bidi w:val="0"/>
        <w:snapToGrid/>
        <w:spacing w:line="600" w:lineRule="exact"/>
        <w:ind w:firstLine="880" w:firstLineChars="200"/>
        <w:textAlignment w:val="auto"/>
        <w:rPr>
          <w:rFonts w:hint="default" w:ascii="Times New Roman" w:hAnsi="Times New Roman" w:eastAsia="方正仿宋_GBK" w:cs="Times New Roman"/>
          <w:b w:val="0"/>
          <w:bCs/>
          <w:sz w:val="44"/>
          <w:szCs w:val="44"/>
          <w:lang w:val="en-US" w:eastAsia="zh-CN"/>
        </w:rPr>
      </w:pPr>
    </w:p>
    <w:p>
      <w:pPr>
        <w:pStyle w:val="15"/>
        <w:keepNext w:val="0"/>
        <w:keepLines w:val="0"/>
        <w:pageBreakBefore w:val="0"/>
        <w:widowControl w:val="0"/>
        <w:kinsoku/>
        <w:wordWrap/>
        <w:overflowPunct/>
        <w:topLinePunct w:val="0"/>
        <w:bidi w:val="0"/>
        <w:snapToGrid/>
        <w:spacing w:line="600" w:lineRule="exact"/>
        <w:ind w:firstLine="880" w:firstLineChars="200"/>
        <w:textAlignment w:val="auto"/>
        <w:rPr>
          <w:rFonts w:hint="default" w:ascii="Times New Roman" w:hAnsi="Times New Roman" w:eastAsia="方正仿宋_GBK" w:cs="Times New Roman"/>
          <w:b w:val="0"/>
          <w:bCs/>
          <w:sz w:val="44"/>
          <w:szCs w:val="44"/>
          <w:lang w:val="en-US" w:eastAsia="zh-CN"/>
        </w:rPr>
      </w:pPr>
    </w:p>
    <w:p>
      <w:pPr>
        <w:pStyle w:val="15"/>
        <w:keepNext w:val="0"/>
        <w:keepLines w:val="0"/>
        <w:pageBreakBefore w:val="0"/>
        <w:widowControl w:val="0"/>
        <w:kinsoku/>
        <w:wordWrap/>
        <w:overflowPunct/>
        <w:topLinePunct w:val="0"/>
        <w:bidi w:val="0"/>
        <w:snapToGrid/>
        <w:spacing w:line="600" w:lineRule="exact"/>
        <w:ind w:firstLine="880" w:firstLineChars="200"/>
        <w:textAlignment w:val="auto"/>
        <w:rPr>
          <w:rFonts w:hint="default" w:ascii="Times New Roman" w:hAnsi="Times New Roman" w:eastAsia="方正仿宋_GBK" w:cs="Times New Roman"/>
          <w:b w:val="0"/>
          <w:bCs/>
          <w:sz w:val="44"/>
          <w:szCs w:val="44"/>
          <w:lang w:val="en-US" w:eastAsia="zh-CN"/>
        </w:rPr>
      </w:pPr>
    </w:p>
    <w:p>
      <w:pPr>
        <w:pStyle w:val="15"/>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16"/>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jc w:val="center"/>
        <w:rPr>
          <w:rFonts w:hint="default" w:ascii="Times New Roman" w:hAnsi="Times New Roman" w:eastAsia="仿宋_GB2312" w:cs="Times New Roman"/>
          <w:sz w:val="32"/>
        </w:rPr>
      </w:pPr>
    </w:p>
    <w:p>
      <w:pPr>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制</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1"/>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2"/>
        <w:rPr>
          <w:rFonts w:hint="default" w:ascii="Times New Roman" w:hAnsi="Times New Roman" w:eastAsia="方正仿宋_GBK"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2"/>
        <w:rPr>
          <w:rFonts w:hint="default" w:ascii="Times New Roman" w:hAnsi="Times New Roman" w:eastAsia="方正仿宋_GBK" w:cs="Times New Roman"/>
          <w:sz w:val="32"/>
          <w:szCs w:val="32"/>
        </w:rPr>
      </w:pPr>
    </w:p>
    <w:p>
      <w:pPr>
        <w:pStyle w:val="2"/>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年     月     日</w:t>
      </w:r>
    </w:p>
    <w:p>
      <w:pPr>
        <w:spacing w:before="120" w:after="120"/>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ind w:firstLine="1040" w:firstLineChars="200"/>
        <w:textAlignment w:val="auto"/>
        <w:rPr>
          <w:rFonts w:hint="default" w:ascii="Times New Roman" w:hAnsi="Times New Roman" w:eastAsia="仿宋_GB2312" w:cs="Times New Roman"/>
          <w:sz w:val="52"/>
          <w:szCs w:val="52"/>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520" w:firstLineChars="11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一、</w:t>
      </w:r>
      <w:r>
        <w:rPr>
          <w:rFonts w:hint="default" w:ascii="Times New Roman" w:hAnsi="Times New Roman" w:eastAsia="方正仿宋_GBK" w:cs="Times New Roman"/>
          <w:b w:val="0"/>
          <w:bCs/>
          <w:sz w:val="32"/>
          <w:szCs w:val="32"/>
        </w:rPr>
        <w:t>谈 判 书</w:t>
      </w:r>
    </w:p>
    <w:p>
      <w:pPr>
        <w:numPr>
          <w:ilvl w:val="0"/>
          <w:numId w:val="0"/>
        </w:numPr>
        <w:rPr>
          <w:rFonts w:hint="default" w:ascii="Times New Roman" w:hAnsi="Times New Roman"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2209</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2"/>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2"/>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2"/>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B27ABD62-FA85-4620-A2D6-060581682538}"/>
  </w:font>
  <w:font w:name="仿宋_GB2312">
    <w:panose1 w:val="02010609030101010101"/>
    <w:charset w:val="86"/>
    <w:family w:val="auto"/>
    <w:pitch w:val="default"/>
    <w:sig w:usb0="00000001" w:usb1="080E0000" w:usb2="00000000" w:usb3="00000000" w:csb0="00040000" w:csb1="00000000"/>
    <w:embedRegular r:id="rId2" w:fontKey="{7C4B90F0-E8DB-4A57-B4D7-3A9100B1D838}"/>
  </w:font>
  <w:font w:name="方正仿宋_GBK">
    <w:panose1 w:val="03000509000000000000"/>
    <w:charset w:val="86"/>
    <w:family w:val="auto"/>
    <w:pitch w:val="default"/>
    <w:sig w:usb0="00000001" w:usb1="080E0000" w:usb2="00000000" w:usb3="00000000" w:csb0="00040000" w:csb1="00000000"/>
    <w:embedRegular r:id="rId3" w:fontKey="{E56DD893-4845-40B7-983A-78080844F58A}"/>
  </w:font>
  <w:font w:name="方正黑体_GBK">
    <w:panose1 w:val="03000509000000000000"/>
    <w:charset w:val="86"/>
    <w:family w:val="auto"/>
    <w:pitch w:val="default"/>
    <w:sig w:usb0="00000001" w:usb1="080E0000" w:usb2="00000000" w:usb3="00000000" w:csb0="00040000" w:csb1="00000000"/>
    <w:embedRegular r:id="rId4" w:fontKey="{4A51CFC9-A4C4-403D-9FD6-6DE6042B1017}"/>
  </w:font>
  <w:font w:name="方正楷体_GBK">
    <w:panose1 w:val="03000509000000000000"/>
    <w:charset w:val="86"/>
    <w:family w:val="auto"/>
    <w:pitch w:val="default"/>
    <w:sig w:usb0="00000001" w:usb1="080E0000" w:usb2="00000000" w:usb3="00000000" w:csb0="00040000" w:csb1="00000000"/>
    <w:embedRegular r:id="rId5" w:fontKey="{72CE4A87-0327-4F29-8A4B-2C075F19D89A}"/>
  </w:font>
  <w:font w:name="仿宋">
    <w:panose1 w:val="02010609060101010101"/>
    <w:charset w:val="86"/>
    <w:family w:val="modern"/>
    <w:pitch w:val="default"/>
    <w:sig w:usb0="800002BF" w:usb1="38CF7CFA" w:usb2="00000016" w:usb3="00000000" w:csb0="00040001" w:csb1="00000000"/>
    <w:embedRegular r:id="rId6" w:fontKey="{3C522924-7359-4B51-B1BA-378EE2927E9E}"/>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3CC3796"/>
    <w:rsid w:val="04343C8D"/>
    <w:rsid w:val="04785EAF"/>
    <w:rsid w:val="049836FC"/>
    <w:rsid w:val="04C4125D"/>
    <w:rsid w:val="04E470A0"/>
    <w:rsid w:val="052B0148"/>
    <w:rsid w:val="056C5A14"/>
    <w:rsid w:val="061614DB"/>
    <w:rsid w:val="06D53145"/>
    <w:rsid w:val="070103DE"/>
    <w:rsid w:val="07397B77"/>
    <w:rsid w:val="078F7797"/>
    <w:rsid w:val="082F2D28"/>
    <w:rsid w:val="084E7652"/>
    <w:rsid w:val="08775FB0"/>
    <w:rsid w:val="08DD09D6"/>
    <w:rsid w:val="08E41D65"/>
    <w:rsid w:val="09C3197A"/>
    <w:rsid w:val="09E813E1"/>
    <w:rsid w:val="0AA42B38"/>
    <w:rsid w:val="0B221DB0"/>
    <w:rsid w:val="0BC47C2C"/>
    <w:rsid w:val="0BEB6F66"/>
    <w:rsid w:val="0C01513E"/>
    <w:rsid w:val="0C746D5A"/>
    <w:rsid w:val="0D703BC7"/>
    <w:rsid w:val="0D924D90"/>
    <w:rsid w:val="0DE16873"/>
    <w:rsid w:val="0F735BF1"/>
    <w:rsid w:val="0F9F39DA"/>
    <w:rsid w:val="0FCB2C8C"/>
    <w:rsid w:val="0FE555D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460077"/>
    <w:rsid w:val="2A7F1496"/>
    <w:rsid w:val="2AA9206F"/>
    <w:rsid w:val="2ADE440E"/>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303D7CE5"/>
    <w:rsid w:val="3099481D"/>
    <w:rsid w:val="30C61BCC"/>
    <w:rsid w:val="31132887"/>
    <w:rsid w:val="311566B0"/>
    <w:rsid w:val="31E85B72"/>
    <w:rsid w:val="31F936CE"/>
    <w:rsid w:val="323D7C6C"/>
    <w:rsid w:val="32904240"/>
    <w:rsid w:val="32981347"/>
    <w:rsid w:val="32CD49DA"/>
    <w:rsid w:val="331A7FAD"/>
    <w:rsid w:val="335350EB"/>
    <w:rsid w:val="33595683"/>
    <w:rsid w:val="33D60378"/>
    <w:rsid w:val="33DE547F"/>
    <w:rsid w:val="343307E1"/>
    <w:rsid w:val="34A246FE"/>
    <w:rsid w:val="34CC52D7"/>
    <w:rsid w:val="352C3FC8"/>
    <w:rsid w:val="355500FE"/>
    <w:rsid w:val="364367C1"/>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B66985"/>
    <w:rsid w:val="4EE554BC"/>
    <w:rsid w:val="4F3C1EBC"/>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F04FC"/>
    <w:rsid w:val="5E824AD5"/>
    <w:rsid w:val="5F15142D"/>
    <w:rsid w:val="5F3A715E"/>
    <w:rsid w:val="60AE3960"/>
    <w:rsid w:val="60EC092C"/>
    <w:rsid w:val="60F24707"/>
    <w:rsid w:val="61896BF6"/>
    <w:rsid w:val="61C54B0A"/>
    <w:rsid w:val="61E67129"/>
    <w:rsid w:val="621A6DD3"/>
    <w:rsid w:val="6302457D"/>
    <w:rsid w:val="630E06E5"/>
    <w:rsid w:val="636B5B38"/>
    <w:rsid w:val="63A26001"/>
    <w:rsid w:val="63D57455"/>
    <w:rsid w:val="642B3519"/>
    <w:rsid w:val="64EF09EB"/>
    <w:rsid w:val="65192AF2"/>
    <w:rsid w:val="65286049"/>
    <w:rsid w:val="654C7545"/>
    <w:rsid w:val="65827169"/>
    <w:rsid w:val="65D25D1C"/>
    <w:rsid w:val="65EB05DD"/>
    <w:rsid w:val="66815672"/>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237219"/>
    <w:rsid w:val="7456638F"/>
    <w:rsid w:val="747E41BC"/>
    <w:rsid w:val="74A0760B"/>
    <w:rsid w:val="74BC08C2"/>
    <w:rsid w:val="74EE3A66"/>
    <w:rsid w:val="74F11C15"/>
    <w:rsid w:val="755521A4"/>
    <w:rsid w:val="75691439"/>
    <w:rsid w:val="770E3E70"/>
    <w:rsid w:val="7771703D"/>
    <w:rsid w:val="778B6351"/>
    <w:rsid w:val="77A051BD"/>
    <w:rsid w:val="77AD62C7"/>
    <w:rsid w:val="78BC6898"/>
    <w:rsid w:val="78F87A16"/>
    <w:rsid w:val="79142376"/>
    <w:rsid w:val="79200D1B"/>
    <w:rsid w:val="7924080B"/>
    <w:rsid w:val="798E117E"/>
    <w:rsid w:val="799F7E92"/>
    <w:rsid w:val="7A102B3D"/>
    <w:rsid w:val="7A434CC1"/>
    <w:rsid w:val="7A6F5AB6"/>
    <w:rsid w:val="7A93026F"/>
    <w:rsid w:val="7AD8185C"/>
    <w:rsid w:val="7AE860BC"/>
    <w:rsid w:val="7B1E74DC"/>
    <w:rsid w:val="7BB06386"/>
    <w:rsid w:val="7BC41E31"/>
    <w:rsid w:val="7C903B5C"/>
    <w:rsid w:val="7CE04A49"/>
    <w:rsid w:val="7D360D32"/>
    <w:rsid w:val="7DA71A0B"/>
    <w:rsid w:val="7E891110"/>
    <w:rsid w:val="7EB32494"/>
    <w:rsid w:val="7EF667A6"/>
    <w:rsid w:val="7F3C1A6B"/>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Body Text"/>
    <w:basedOn w:val="1"/>
    <w:qFormat/>
    <w:uiPriority w:val="0"/>
    <w:pPr>
      <w:spacing w:after="120"/>
    </w:pPr>
    <w:rPr>
      <w:rFonts w:ascii="Times New Roman" w:hAnsi="Times New Roman"/>
      <w:szCs w:val="24"/>
    </w:r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character" w:styleId="13">
    <w:name w:val="page number"/>
    <w:basedOn w:val="12"/>
    <w:qFormat/>
    <w:uiPriority w:val="0"/>
  </w:style>
  <w:style w:type="character" w:styleId="14">
    <w:name w:val="footnote reference"/>
    <w:basedOn w:val="12"/>
    <w:qFormat/>
    <w:uiPriority w:val="0"/>
    <w:rPr>
      <w:vertAlign w:val="superscript"/>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Normal Indent1"/>
    <w:basedOn w:val="1"/>
    <w:qFormat/>
    <w:uiPriority w:val="0"/>
    <w:pPr>
      <w:ind w:firstLine="420" w:firstLineChars="200"/>
    </w:pPr>
    <w:rPr>
      <w:rFonts w:ascii="Calibri" w:hAnsi="Calibri" w:eastAsia="宋体"/>
    </w:rPr>
  </w:style>
  <w:style w:type="paragraph" w:customStyle="1" w:styleId="17">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20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cp:lastPrinted>2022-07-07T00:57:00Z</cp:lastPrinted>
  <dcterms:modified xsi:type="dcterms:W3CDTF">2022-07-07T01:13:44Z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