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6</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ind w:firstLine="640" w:firstLineChars="20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预算绩效目标质量抽审控制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预算绩效考核</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2206</w:t>
      </w:r>
    </w:p>
    <w:p>
      <w:pPr>
        <w:ind w:firstLine="640" w:firstLineChars="200"/>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预算绩效目标质量抽审控制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预算绩效考核</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日16:30（（北京时间）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 xml:space="preserve">2022年5月 </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日16:30（北京时间）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ind w:firstLine="640"/>
        <w:rPr>
          <w:rFonts w:hint="default"/>
          <w:lang w:val="en-US" w:eastAsia="zh-CN"/>
        </w:rPr>
      </w:pPr>
      <w:r>
        <w:rPr>
          <w:rFonts w:hint="eastAsia" w:eastAsia="方正仿宋_GBK" w:cs="Times New Roman"/>
          <w:b w:val="0"/>
          <w:bCs/>
          <w:color w:val="000000" w:themeColor="text1"/>
          <w:sz w:val="32"/>
          <w:szCs w:val="32"/>
          <w:lang w:val="en-US" w:eastAsia="zh-CN"/>
          <w14:textFill>
            <w14:solidFill>
              <w14:schemeClr w14:val="tx1"/>
            </w14:solidFill>
          </w14:textFill>
        </w:rPr>
        <w:t>11.响应文件要求：一正两副</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color w:val="0000FF"/>
          <w:kern w:val="2"/>
          <w:sz w:val="32"/>
          <w:szCs w:val="32"/>
          <w:lang w:val="en-US" w:eastAsia="zh-CN" w:bidi="ar-SA"/>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2022年</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329000</w:t>
            </w:r>
          </w:p>
        </w:tc>
      </w:tr>
    </w:tbl>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本项目不接受联合体响应。</w:t>
      </w: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2.</w:t>
      </w:r>
      <w:r>
        <w:rPr>
          <w:rFonts w:hint="default" w:ascii="Times New Roman" w:hAnsi="Times New Roman" w:eastAsia="方正楷体_GBK" w:cs="Times New Roman"/>
          <w:b w:val="0"/>
          <w:bCs/>
          <w:sz w:val="32"/>
          <w:szCs w:val="32"/>
        </w:rPr>
        <w:t>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3</w:t>
      </w:r>
      <w:r>
        <w:rPr>
          <w:rFonts w:hint="default" w:ascii="Times New Roman" w:hAnsi="Times New Roman" w:eastAsia="方正楷体_GBK" w:cs="Times New Roman"/>
          <w:b w:val="0"/>
          <w:bCs/>
          <w:sz w:val="32"/>
          <w:szCs w:val="32"/>
          <w:lang w:eastAsia="zh-CN"/>
        </w:rPr>
        <w:t>.</w:t>
      </w:r>
      <w:r>
        <w:rPr>
          <w:rFonts w:hint="default" w:ascii="Times New Roman" w:hAnsi="Times New Roman" w:eastAsia="方正楷体_GBK" w:cs="Times New Roman"/>
          <w:b w:val="0"/>
          <w:bCs/>
          <w:sz w:val="32"/>
          <w:szCs w:val="32"/>
        </w:rPr>
        <w:t>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4.</w:t>
      </w:r>
      <w:r>
        <w:rPr>
          <w:rFonts w:hint="default" w:ascii="Times New Roman" w:hAnsi="Times New Roman" w:eastAsia="方正楷体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5</w:t>
      </w:r>
      <w:r>
        <w:rPr>
          <w:rFonts w:hint="default" w:ascii="Times New Roman" w:hAnsi="Times New Roman" w:eastAsia="方正楷体_GBK" w:cs="Times New Roman"/>
          <w:b w:val="0"/>
          <w:bCs/>
          <w:sz w:val="32"/>
          <w:szCs w:val="32"/>
          <w:lang w:eastAsia="zh-CN"/>
        </w:rPr>
        <w:t>.</w:t>
      </w:r>
      <w:r>
        <w:rPr>
          <w:rFonts w:hint="default" w:ascii="Times New Roman" w:hAnsi="Times New Roman" w:eastAsia="方正楷体_GBK" w:cs="Times New Roman"/>
          <w:b w:val="0"/>
          <w:bCs/>
          <w:sz w:val="32"/>
          <w:szCs w:val="32"/>
          <w:lang w:val="en-US" w:eastAsia="zh-CN"/>
        </w:rPr>
        <w:t>供应方</w:t>
      </w:r>
      <w:r>
        <w:rPr>
          <w:rFonts w:hint="default" w:ascii="Times New Roman" w:hAnsi="Times New Roman" w:eastAsia="方正楷体_GBK" w:cs="Times New Roman"/>
          <w:b w:val="0"/>
          <w:bCs/>
          <w:sz w:val="32"/>
          <w:szCs w:val="32"/>
        </w:rPr>
        <w:t>资格和资信证明及</w:t>
      </w:r>
      <w:r>
        <w:rPr>
          <w:rFonts w:hint="default" w:ascii="Times New Roman" w:hAnsi="Times New Roman" w:eastAsia="方正楷体_GBK" w:cs="Times New Roman"/>
          <w:b w:val="0"/>
          <w:bCs/>
          <w:sz w:val="32"/>
          <w:szCs w:val="32"/>
          <w:lang w:val="en-US" w:eastAsia="zh-CN"/>
        </w:rPr>
        <w:t>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6</w:t>
      </w:r>
      <w:r>
        <w:rPr>
          <w:rFonts w:hint="default" w:ascii="Times New Roman" w:hAnsi="Times New Roman" w:eastAsia="方正楷体_GBK" w:cs="Times New Roman"/>
          <w:b w:val="0"/>
          <w:bCs/>
          <w:sz w:val="32"/>
          <w:szCs w:val="32"/>
        </w:rPr>
        <w:t>、响应文件的签署规定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2.</w:t>
      </w:r>
      <w:r>
        <w:rPr>
          <w:rFonts w:hint="default" w:ascii="Times New Roman" w:hAnsi="Times New Roman" w:eastAsia="方正楷体_GBK" w:cs="Times New Roman"/>
          <w:b w:val="0"/>
          <w:bCs/>
          <w:sz w:val="32"/>
          <w:szCs w:val="32"/>
        </w:rPr>
        <w:t>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3.</w:t>
      </w:r>
      <w:r>
        <w:rPr>
          <w:rFonts w:hint="default" w:ascii="Times New Roman" w:hAnsi="Times New Roman" w:eastAsia="方正楷体_GBK" w:cs="Times New Roman"/>
          <w:b w:val="0"/>
          <w:bCs/>
          <w:sz w:val="32"/>
          <w:szCs w:val="32"/>
        </w:rPr>
        <w:t>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w:t>
      </w:r>
      <w:r>
        <w:rPr>
          <w:rFonts w:hint="default"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rPr>
        <w:t>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eastAsia="zh-CN"/>
        </w:rPr>
      </w:pPr>
      <w:r>
        <w:rPr>
          <w:rFonts w:hint="default" w:ascii="Times New Roman" w:hAnsi="Times New Roman" w:eastAsia="方正楷体_GBK" w:cs="Times New Roman"/>
          <w:b w:val="0"/>
          <w:bCs/>
          <w:sz w:val="32"/>
          <w:szCs w:val="32"/>
          <w:lang w:val="en-US" w:eastAsia="zh-CN"/>
        </w:rPr>
        <w:t>2.</w:t>
      </w:r>
      <w:r>
        <w:rPr>
          <w:rFonts w:hint="default" w:ascii="Times New Roman" w:hAnsi="Times New Roman" w:eastAsia="方正楷体_GBK" w:cs="Times New Roman"/>
          <w:b w:val="0"/>
          <w:bCs/>
          <w:sz w:val="32"/>
          <w:szCs w:val="32"/>
        </w:rPr>
        <w:t>签订</w:t>
      </w:r>
      <w:r>
        <w:rPr>
          <w:rFonts w:hint="default" w:ascii="Times New Roman" w:hAnsi="Times New Roman" w:eastAsia="方正楷体_GBK" w:cs="Times New Roman"/>
          <w:b w:val="0"/>
          <w:bCs/>
          <w:sz w:val="32"/>
          <w:szCs w:val="32"/>
          <w:lang w:eastAsia="zh-CN"/>
        </w:rPr>
        <w:t>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楷体_GBK" w:cs="Times New Roman"/>
          <w:b w:val="0"/>
          <w:bCs/>
          <w:kern w:val="2"/>
          <w:sz w:val="32"/>
          <w:szCs w:val="32"/>
          <w:lang w:val="en-US" w:eastAsia="zh-CN" w:bidi="ar-SA"/>
        </w:rPr>
        <w:t>3、验收</w:t>
      </w:r>
      <w:r>
        <w:rPr>
          <w:rFonts w:hint="default" w:ascii="Times New Roman" w:hAnsi="Times New Roman" w:eastAsia="方正仿宋_GBK" w:cs="Times New Roman"/>
          <w:b w:val="0"/>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楷体_GBK" w:cs="Times New Roman"/>
          <w:b w:val="0"/>
          <w:bCs/>
          <w:sz w:val="32"/>
          <w:szCs w:val="32"/>
          <w:lang w:val="en-US" w:eastAsia="zh-CN"/>
        </w:rPr>
        <w:t>4.</w:t>
      </w:r>
      <w:r>
        <w:rPr>
          <w:rFonts w:hint="default" w:ascii="Times New Roman" w:hAnsi="Times New Roman" w:eastAsia="方正楷体_GBK" w:cs="Times New Roman"/>
          <w:b w:val="0"/>
          <w:bCs/>
          <w:sz w:val="32"/>
          <w:szCs w:val="32"/>
        </w:rPr>
        <w:t xml:space="preserve">付款条件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5.</w:t>
      </w:r>
      <w:r>
        <w:rPr>
          <w:rFonts w:hint="default" w:ascii="Times New Roman" w:hAnsi="Times New Roman" w:eastAsia="方正楷体_GBK" w:cs="Times New Roman"/>
          <w:b w:val="0"/>
          <w:bCs/>
          <w:sz w:val="32"/>
          <w:szCs w:val="32"/>
        </w:rPr>
        <w:t>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7"/>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一、采购项目</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预算绩效指标体系建设</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预算绩效事前评估</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预算绩效目标质量抽审控制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预算绩效考核</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二、项目具体内容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sz w:val="32"/>
          <w:szCs w:val="32"/>
          <w:lang w:eastAsia="zh-CN"/>
        </w:rPr>
        <w:t>按要</w:t>
      </w:r>
      <w:r>
        <w:rPr>
          <w:rFonts w:hint="default" w:ascii="Times New Roman" w:hAnsi="Times New Roman" w:eastAsia="方正仿宋_GBK" w:cs="Times New Roman"/>
          <w:sz w:val="32"/>
          <w:szCs w:val="32"/>
          <w:lang w:val="en-US" w:eastAsia="zh-CN"/>
        </w:rPr>
        <w:t>求</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不少于</w:t>
      </w:r>
      <w:r>
        <w:rPr>
          <w:rFonts w:hint="default" w:ascii="Times New Roman" w:hAnsi="Times New Roman" w:eastAsia="方正仿宋_GBK" w:cs="Times New Roman"/>
          <w:sz w:val="32"/>
          <w:szCs w:val="32"/>
          <w:lang w:val="en-US" w:eastAsia="zh-CN"/>
        </w:rPr>
        <w:t>20类；组织不少于20个项目</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val="en-US" w:eastAsia="zh-CN"/>
        </w:rPr>
        <w:t>；完成</w:t>
      </w:r>
      <w:r>
        <w:rPr>
          <w:rFonts w:hint="default" w:ascii="Times New Roman" w:hAnsi="Times New Roman" w:eastAsia="方正仿宋_GBK" w:cs="Times New Roman"/>
          <w:color w:val="000000"/>
          <w:sz w:val="32"/>
          <w:szCs w:val="32"/>
          <w:lang w:eastAsia="zh-CN"/>
        </w:rPr>
        <w:t>不低于</w:t>
      </w:r>
      <w:r>
        <w:rPr>
          <w:rFonts w:hint="default" w:ascii="Times New Roman" w:hAnsi="Times New Roman" w:eastAsia="方正仿宋_GBK" w:cs="Times New Roman"/>
          <w:color w:val="000000"/>
          <w:sz w:val="32"/>
          <w:szCs w:val="32"/>
        </w:rPr>
        <w:t>项目支出</w:t>
      </w:r>
      <w:r>
        <w:rPr>
          <w:rFonts w:hint="default" w:ascii="Times New Roman" w:hAnsi="Times New Roman" w:eastAsia="方正仿宋_GBK" w:cs="Times New Roman"/>
          <w:color w:val="000000"/>
          <w:sz w:val="32"/>
          <w:szCs w:val="32"/>
          <w:lang w:eastAsia="zh-CN"/>
        </w:rPr>
        <w:t>总额</w:t>
      </w:r>
      <w:r>
        <w:rPr>
          <w:rFonts w:hint="default" w:ascii="Times New Roman" w:hAnsi="Times New Roman" w:eastAsia="方正仿宋_GBK" w:cs="Times New Roman"/>
          <w:color w:val="000000"/>
          <w:sz w:val="32"/>
          <w:szCs w:val="32"/>
          <w:lang w:val="en-US" w:eastAsia="zh-CN"/>
        </w:rPr>
        <w:t>80%的</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综合审核；协助完成对县（市、区）和市级</w:t>
      </w:r>
      <w:r>
        <w:rPr>
          <w:rFonts w:hint="default" w:ascii="Times New Roman" w:hAnsi="Times New Roman" w:eastAsia="方正仿宋_GBK" w:cs="Times New Roman"/>
          <w:color w:val="000000"/>
          <w:sz w:val="32"/>
          <w:szCs w:val="32"/>
          <w:lang w:val="en-US" w:eastAsia="zh-CN"/>
        </w:rPr>
        <w:t>2022年度绩效考核及预算绩效培训等工作。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方正黑体_GBK" w:cs="Times New Roman"/>
          <w:sz w:val="32"/>
          <w:szCs w:val="32"/>
          <w:lang w:eastAsia="zh-CN"/>
        </w:rPr>
        <w:t>三、对</w:t>
      </w:r>
      <w:r>
        <w:rPr>
          <w:rFonts w:hint="default" w:ascii="Times New Roman" w:hAnsi="Times New Roman" w:eastAsia="方正黑体_GBK" w:cs="Times New Roman"/>
          <w:sz w:val="32"/>
          <w:szCs w:val="32"/>
        </w:rPr>
        <w:t>项目服务</w:t>
      </w:r>
      <w:r>
        <w:rPr>
          <w:rFonts w:hint="default" w:ascii="Times New Roman" w:hAnsi="Times New Roman" w:eastAsia="方正黑体_GBK" w:cs="Times New Roman"/>
          <w:sz w:val="32"/>
          <w:szCs w:val="32"/>
          <w:lang w:eastAsia="zh-CN"/>
        </w:rPr>
        <w:t>第三方要求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、《曲靖市市级财政预算绩效目标管理暂行办法》（曲财预〔2018〕159号）、《曲靖市项目支出绩效评价管理办法》（曲财绩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 xml:space="preserve">8号）、《曲靖市市级预算绩效事前评估暂行办法》(曲财绩 </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18号)、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现明确提出对第三方机构的资质与实绩要求，参与此项工作的第三方机构应当具备以下条件：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lang w:val="en-US" w:eastAsia="zh-CN"/>
        </w:rPr>
        <w:t>1.有</w:t>
      </w:r>
      <w:r>
        <w:rPr>
          <w:rFonts w:hint="default" w:ascii="Times New Roman" w:hAnsi="Times New Roman" w:eastAsia="方正仿宋_GBK" w:cs="Times New Roman"/>
          <w:b w:val="0"/>
          <w:bCs w:val="0"/>
          <w:sz w:val="32"/>
          <w:szCs w:val="32"/>
        </w:rPr>
        <w:t>良好的商业信誉</w:t>
      </w:r>
      <w:r>
        <w:rPr>
          <w:rFonts w:hint="default" w:ascii="Times New Roman" w:hAnsi="Times New Roman" w:eastAsia="方正仿宋_GBK" w:cs="Times New Roman"/>
          <w:b w:val="0"/>
          <w:bCs w:val="0"/>
          <w:sz w:val="32"/>
          <w:szCs w:val="32"/>
          <w:lang w:eastAsia="zh-CN"/>
        </w:rPr>
        <w:t>，近三年无业内违规行为。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2.第三方近年有参与</w:t>
      </w:r>
      <w:bookmarkStart w:id="0" w:name="_GoBack"/>
      <w:bookmarkEnd w:id="0"/>
      <w:r>
        <w:rPr>
          <w:rFonts w:hint="default" w:ascii="Times New Roman" w:hAnsi="Times New Roman" w:eastAsia="方正仿宋_GBK" w:cs="Times New Roman"/>
          <w:sz w:val="32"/>
          <w:szCs w:val="32"/>
          <w:lang w:val="en-US" w:eastAsia="zh-CN"/>
        </w:rPr>
        <w:t>省级或州市级预算绩效评估、绩效目标审核、指标体系建设工作经历，能提供近年参与绩效评估报告清单、指标体系建设、目标审核清单或相关证明资料。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人；其中项目组长</w:t>
      </w:r>
      <w:r>
        <w:rPr>
          <w:rFonts w:hint="default" w:ascii="Times New Roman" w:hAnsi="Times New Roman" w:eastAsia="方正仿宋_GBK" w:cs="Times New Roman"/>
          <w:sz w:val="32"/>
          <w:szCs w:val="32"/>
          <w:highlight w:val="none"/>
          <w:lang w:eastAsia="zh-CN"/>
        </w:rPr>
        <w:t>具</w:t>
      </w:r>
      <w:r>
        <w:rPr>
          <w:rFonts w:hint="default" w:ascii="Times New Roman" w:hAnsi="Times New Roman" w:eastAsia="方正仿宋_GBK" w:cs="Times New Roman"/>
          <w:sz w:val="32"/>
          <w:szCs w:val="32"/>
          <w:highlight w:val="none"/>
        </w:rPr>
        <w:t>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合同期间非特殊因素原则上不能变动项目负责人，确需调整需取得受托方同意</w:t>
      </w:r>
      <w:r>
        <w:rPr>
          <w:rFonts w:hint="default" w:ascii="Times New Roman" w:hAnsi="Times New Roman" w:eastAsia="方正仿宋_GBK"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highlight w:val="none"/>
          <w:lang w:val="en-US" w:eastAsia="zh-CN"/>
        </w:rPr>
        <w:t xml:space="preserve"> 4.工作时间保障：</w:t>
      </w:r>
      <w:r>
        <w:rPr>
          <w:rFonts w:hint="default" w:ascii="Times New Roman" w:hAnsi="Times New Roman" w:eastAsia="方正仿宋_GBK" w:cs="Times New Roman"/>
          <w:sz w:val="32"/>
          <w:szCs w:val="32"/>
          <w:lang w:val="en-US" w:eastAsia="zh-CN"/>
        </w:rPr>
        <w:t>2022年</w:t>
      </w:r>
      <w:r>
        <w:rPr>
          <w:rFonts w:hint="default" w:ascii="Times New Roman" w:hAnsi="Times New Roman" w:eastAsia="方正仿宋_GBK" w:cs="Times New Roman"/>
          <w:sz w:val="32"/>
          <w:szCs w:val="32"/>
        </w:rPr>
        <w:t>预算绩效指标体系建设从202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年4月</w:t>
      </w:r>
      <w:r>
        <w:rPr>
          <w:rFonts w:hint="default" w:ascii="Times New Roman" w:hAnsi="Times New Roman" w:eastAsia="方正仿宋_GBK" w:cs="Times New Roman"/>
          <w:sz w:val="32"/>
          <w:szCs w:val="32"/>
          <w:lang w:eastAsia="zh-CN"/>
        </w:rPr>
        <w:t>下</w:t>
      </w:r>
      <w:r>
        <w:rPr>
          <w:rFonts w:hint="default" w:ascii="Times New Roman" w:hAnsi="Times New Roman" w:eastAsia="方正仿宋_GBK" w:cs="Times New Roman"/>
          <w:sz w:val="32"/>
          <w:szCs w:val="32"/>
        </w:rPr>
        <w:t>旬开始至202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rPr>
        <w:t>月底结束</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年度绩效</w:t>
      </w:r>
      <w:r>
        <w:rPr>
          <w:rFonts w:hint="default" w:ascii="Times New Roman" w:hAnsi="Times New Roman" w:eastAsia="方正仿宋_GBK" w:cs="Times New Roman"/>
          <w:sz w:val="32"/>
          <w:szCs w:val="32"/>
          <w:lang w:eastAsia="zh-CN"/>
        </w:rPr>
        <w:t>培训</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适时开展；</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年预算绩效事前评估与预算绩效目标质量抽审控制拟与市本级预算布置同步启动</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年度绩效考核工作拟202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11</w:t>
      </w:r>
      <w:r>
        <w:rPr>
          <w:rFonts w:hint="default" w:ascii="Times New Roman" w:hAnsi="Times New Roman" w:eastAsia="方正仿宋_GBK" w:cs="Times New Roman"/>
          <w:sz w:val="32"/>
          <w:szCs w:val="32"/>
        </w:rPr>
        <w:t>月启动</w:t>
      </w:r>
      <w:r>
        <w:rPr>
          <w:rFonts w:hint="default" w:ascii="Times New Roman" w:hAnsi="Times New Roman" w:eastAsia="方正仿宋_GBK" w:cs="Times New Roman"/>
          <w:sz w:val="32"/>
          <w:szCs w:val="32"/>
          <w:lang w:eastAsia="zh-CN"/>
        </w:rPr>
        <w:t>（后</w:t>
      </w:r>
      <w:r>
        <w:rPr>
          <w:rFonts w:hint="default"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eastAsia="zh-CN"/>
        </w:rPr>
        <w:t>项工作需要第三方人员进驻市财政局办公）。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val="0"/>
          <w:bCs/>
          <w:sz w:val="32"/>
          <w:szCs w:val="32"/>
          <w:lang w:val="en-US" w:eastAsia="zh-CN"/>
        </w:rPr>
        <w:t xml:space="preserve">  ６.对委托事项遵守保密和廉政协议。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四、工作流程</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auto"/>
          <w:sz w:val="32"/>
          <w:szCs w:val="32"/>
          <w:lang w:eastAsia="zh-CN"/>
        </w:rPr>
        <w:t>（一）</w:t>
      </w:r>
      <w:r>
        <w:rPr>
          <w:rFonts w:hint="default" w:ascii="Times New Roman" w:hAnsi="Times New Roman" w:eastAsia="方正仿宋_GBK" w:cs="Times New Roman"/>
          <w:color w:val="auto"/>
          <w:sz w:val="32"/>
          <w:szCs w:val="32"/>
          <w:lang w:val="en-US" w:eastAsia="zh-CN"/>
        </w:rPr>
        <w:t>前期工作方案：在启动绩效管理事项前，先按委托方规定的时间和要求，提交绩效管理事项实施方案。实施方案包括对项目的理解、项目实施技术方案、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管理</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召开进点见面会：由市财政局正式发文通知，市财政局组织召开，项目预算部门与第三方机构见面会，确定进驻时间与评估方案等。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lang w:val="en-US" w:eastAsia="zh-CN"/>
        </w:rPr>
        <w:t>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（四）报告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2022年12月31日，按</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的要求</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年度预算绩效指标体系建设</w:t>
      </w:r>
      <w:r>
        <w:rPr>
          <w:rFonts w:hint="default" w:ascii="Times New Roman" w:hAnsi="Times New Roman" w:eastAsia="方正仿宋_GBK" w:cs="Times New Roman"/>
          <w:sz w:val="32"/>
          <w:szCs w:val="32"/>
          <w:lang w:eastAsia="zh-CN"/>
        </w:rPr>
        <w:t>不少于</w:t>
      </w:r>
      <w:r>
        <w:rPr>
          <w:rFonts w:hint="default" w:ascii="Times New Roman" w:hAnsi="Times New Roman" w:eastAsia="方正仿宋_GBK" w:cs="Times New Roman"/>
          <w:sz w:val="32"/>
          <w:szCs w:val="32"/>
          <w:lang w:val="en-US" w:eastAsia="zh-CN"/>
        </w:rPr>
        <w:t>20类，出具2022年预算</w:t>
      </w:r>
      <w:r>
        <w:rPr>
          <w:rFonts w:hint="default" w:ascii="Times New Roman" w:hAnsi="Times New Roman" w:eastAsia="方正仿宋_GBK" w:cs="Times New Roman"/>
          <w:sz w:val="32"/>
          <w:szCs w:val="32"/>
        </w:rPr>
        <w:t>绩效指标体系建设</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lang w:val="en-US" w:eastAsia="zh-CN"/>
        </w:rPr>
        <w:t>（正式报告）；不少于20个项目绩效评估报告及汇总报告（正式报告）；</w:t>
      </w:r>
      <w:r>
        <w:rPr>
          <w:rFonts w:hint="default" w:ascii="Times New Roman" w:hAnsi="Times New Roman" w:eastAsia="方正仿宋_GBK" w:cs="Times New Roman"/>
          <w:color w:val="000000"/>
          <w:sz w:val="32"/>
          <w:szCs w:val="32"/>
          <w:lang w:eastAsia="zh-CN"/>
        </w:rPr>
        <w:t>不低于</w:t>
      </w:r>
      <w:r>
        <w:rPr>
          <w:rFonts w:hint="default" w:ascii="Times New Roman" w:hAnsi="Times New Roman" w:eastAsia="方正仿宋_GBK" w:cs="Times New Roman"/>
          <w:color w:val="000000"/>
          <w:sz w:val="32"/>
          <w:szCs w:val="32"/>
        </w:rPr>
        <w:t>项目支出</w:t>
      </w:r>
      <w:r>
        <w:rPr>
          <w:rFonts w:hint="default" w:ascii="Times New Roman" w:hAnsi="Times New Roman" w:eastAsia="方正仿宋_GBK" w:cs="Times New Roman"/>
          <w:color w:val="000000"/>
          <w:sz w:val="32"/>
          <w:szCs w:val="32"/>
          <w:lang w:eastAsia="zh-CN"/>
        </w:rPr>
        <w:t>总额</w:t>
      </w:r>
      <w:r>
        <w:rPr>
          <w:rFonts w:hint="default" w:ascii="Times New Roman" w:hAnsi="Times New Roman" w:eastAsia="方正仿宋_GBK" w:cs="Times New Roman"/>
          <w:color w:val="000000"/>
          <w:sz w:val="32"/>
          <w:szCs w:val="32"/>
          <w:lang w:val="en-US" w:eastAsia="zh-CN"/>
        </w:rPr>
        <w:t>80%的</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综合审核，出具预算绩效目标审核报告</w:t>
      </w:r>
      <w:r>
        <w:rPr>
          <w:rFonts w:hint="default" w:ascii="Times New Roman" w:hAnsi="Times New Roman" w:eastAsia="方正仿宋_GBK" w:cs="Times New Roman"/>
          <w:sz w:val="32"/>
          <w:szCs w:val="32"/>
          <w:lang w:val="en-US" w:eastAsia="zh-CN"/>
        </w:rPr>
        <w:t>（正式报告）</w:t>
      </w:r>
      <w:r>
        <w:rPr>
          <w:rFonts w:hint="default" w:ascii="Times New Roman" w:hAnsi="Times New Roman" w:eastAsia="方正仿宋_GBK" w:cs="Times New Roman"/>
          <w:color w:val="000000"/>
          <w:sz w:val="32"/>
          <w:szCs w:val="32"/>
          <w:lang w:eastAsia="zh-CN"/>
        </w:rPr>
        <w:t>；对县（市、区）和市级预算绩效</w:t>
      </w:r>
      <w:r>
        <w:rPr>
          <w:rFonts w:hint="default" w:ascii="Times New Roman" w:hAnsi="Times New Roman" w:eastAsia="方正仿宋_GBK" w:cs="Times New Roman"/>
          <w:color w:val="000000"/>
          <w:sz w:val="32"/>
          <w:szCs w:val="32"/>
          <w:lang w:val="en-US" w:eastAsia="zh-CN"/>
        </w:rPr>
        <w:t>培训工作，提交培训课件及相关资料；</w:t>
      </w:r>
      <w:r>
        <w:rPr>
          <w:rFonts w:hint="default" w:ascii="Times New Roman" w:hAnsi="Times New Roman" w:eastAsia="方正仿宋_GBK" w:cs="Times New Roman"/>
          <w:color w:val="000000"/>
          <w:sz w:val="32"/>
          <w:szCs w:val="32"/>
          <w:lang w:eastAsia="zh-CN"/>
        </w:rPr>
        <w:t>对县（市、区）和市级</w:t>
      </w:r>
      <w:r>
        <w:rPr>
          <w:rFonts w:hint="default" w:ascii="Times New Roman" w:hAnsi="Times New Roman" w:eastAsia="方正仿宋_GBK" w:cs="Times New Roman"/>
          <w:color w:val="000000"/>
          <w:sz w:val="32"/>
          <w:szCs w:val="32"/>
          <w:lang w:val="en-US" w:eastAsia="zh-CN"/>
        </w:rPr>
        <w:t>2022年度绩效考核于考核工作完结结束。分别出具对</w:t>
      </w:r>
      <w:r>
        <w:rPr>
          <w:rFonts w:hint="default" w:ascii="Times New Roman" w:hAnsi="Times New Roman" w:eastAsia="方正仿宋_GBK" w:cs="Times New Roman"/>
          <w:color w:val="000000"/>
          <w:sz w:val="32"/>
          <w:szCs w:val="32"/>
          <w:lang w:eastAsia="zh-CN"/>
        </w:rPr>
        <w:t>县（市、区）和市级绩效考核报告</w:t>
      </w:r>
      <w:r>
        <w:rPr>
          <w:rFonts w:hint="default" w:ascii="Times New Roman" w:hAnsi="Times New Roman" w:eastAsia="方正仿宋_GBK" w:cs="Times New Roman"/>
          <w:sz w:val="32"/>
          <w:szCs w:val="32"/>
          <w:lang w:val="en-US" w:eastAsia="zh-CN"/>
        </w:rPr>
        <w:t>（正式报告）</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质量、服务要求：被委托方按时按质</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综合审核；协助完成对县（市、区）和市级</w:t>
      </w:r>
      <w:r>
        <w:rPr>
          <w:rFonts w:hint="default" w:ascii="Times New Roman" w:hAnsi="Times New Roman" w:eastAsia="方正仿宋_GBK" w:cs="Times New Roman"/>
          <w:color w:val="000000"/>
          <w:sz w:val="32"/>
          <w:szCs w:val="32"/>
          <w:lang w:val="en-US" w:eastAsia="zh-CN"/>
        </w:rPr>
        <w:t>年度绩效考核及预算绩效培训等</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以上预算绩效管理工作要</w:t>
      </w:r>
      <w:r>
        <w:rPr>
          <w:rFonts w:hint="default" w:ascii="Times New Roman" w:hAnsi="Times New Roman" w:eastAsia="方正仿宋_GBK" w:cs="Times New Roman"/>
          <w:sz w:val="32"/>
          <w:szCs w:val="32"/>
        </w:rPr>
        <w:t>符合法律、法规、行业政策以及有关规定，报告真实、完整，</w:t>
      </w:r>
      <w:r>
        <w:rPr>
          <w:rFonts w:hint="default" w:ascii="Times New Roman" w:hAnsi="Times New Roman" w:eastAsia="方正仿宋_GBK" w:cs="Times New Roman"/>
          <w:sz w:val="32"/>
          <w:szCs w:val="32"/>
          <w:lang w:eastAsia="zh-CN"/>
        </w:rPr>
        <w:t>符合绩效管理要求</w:t>
      </w:r>
      <w:r>
        <w:rPr>
          <w:rFonts w:hint="default" w:ascii="Times New Roman" w:hAnsi="Times New Roman" w:eastAsia="方正仿宋_GBK" w:cs="Times New Roman"/>
          <w:sz w:val="32"/>
          <w:szCs w:val="32"/>
        </w:rPr>
        <w:t>满足甲方需求，报告表述清楚、内容完整、依据充分、附件齐全、相应的签字盖章完备。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符合预算绩效管理要求。</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（九）报告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五、服务项目结算方式</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　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若报告质量达不到要求，则扣除</w:t>
      </w:r>
      <w:r>
        <w:rPr>
          <w:rFonts w:hint="default" w:ascii="Times New Roman" w:hAnsi="Times New Roman" w:eastAsia="方正仿宋_GBK" w:cs="Times New Roman"/>
          <w:sz w:val="32"/>
          <w:szCs w:val="32"/>
          <w:lang w:val="en-US" w:eastAsia="zh-CN"/>
        </w:rPr>
        <w:t>20%总价款后结算。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lang w:eastAsia="zh-CN"/>
        </w:rPr>
        <w:t>六</w:t>
      </w:r>
      <w:r>
        <w:rPr>
          <w:rFonts w:hint="default" w:ascii="Times New Roman" w:hAnsi="Times New Roman" w:eastAsia="方正黑体_GBK" w:cs="Times New Roman"/>
          <w:sz w:val="32"/>
          <w:szCs w:val="32"/>
        </w:rPr>
        <w:t>、项目合同服务期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绩效绩效管理事项</w:t>
      </w:r>
      <w:r>
        <w:rPr>
          <w:rFonts w:hint="default" w:ascii="Times New Roman" w:hAnsi="Times New Roman" w:eastAsia="方正仿宋_GBK" w:cs="Times New Roman"/>
          <w:sz w:val="32"/>
          <w:szCs w:val="32"/>
        </w:rPr>
        <w:t>从服务合同签订之日起</w:t>
      </w:r>
      <w:r>
        <w:rPr>
          <w:rFonts w:hint="default" w:ascii="Times New Roman" w:hAnsi="Times New Roman" w:eastAsia="方正仿宋_GBK" w:cs="Times New Roman"/>
          <w:sz w:val="32"/>
          <w:szCs w:val="32"/>
          <w:lang w:eastAsia="zh-CN"/>
        </w:rPr>
        <w:t>至所列工作项全部</w:t>
      </w:r>
      <w:r>
        <w:rPr>
          <w:rFonts w:hint="default" w:ascii="Times New Roman" w:hAnsi="Times New Roman" w:eastAsia="方正仿宋_GBK" w:cs="Times New Roman"/>
          <w:sz w:val="32"/>
          <w:szCs w:val="32"/>
        </w:rPr>
        <w:t>结束</w:t>
      </w:r>
      <w:r>
        <w:rPr>
          <w:rFonts w:hint="default" w:ascii="Times New Roman" w:hAnsi="Times New Roman" w:eastAsia="方正仿宋_GBK" w:cs="Times New Roman"/>
          <w:sz w:val="32"/>
          <w:szCs w:val="32"/>
          <w:lang w:eastAsia="zh-CN"/>
        </w:rPr>
        <w:t>时结束</w:t>
      </w:r>
      <w:r>
        <w:rPr>
          <w:rFonts w:hint="default" w:ascii="Times New Roman" w:hAnsi="Times New Roman" w:eastAsia="方正仿宋_GBK" w:cs="Times New Roman"/>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方正仿宋_GBK" w:hAnsi="方正仿宋_GBK" w:eastAsia="方正仿宋_GBK" w:cs="方正仿宋_GBK"/>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7"/>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 xml:space="preserve">  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Layout w:type="fixed"/>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sz w:val="32"/>
          <w:szCs w:val="32"/>
          <w:lang w:val="en-US" w:eastAsia="zh-CN"/>
        </w:rPr>
      </w:pPr>
      <w:r>
        <w:rPr>
          <w:rFonts w:hint="default" w:ascii="方正楷体_GBK" w:hAnsi="方正楷体_GBK" w:eastAsia="方正楷体_GBK" w:cs="方正楷体_GBK"/>
          <w:sz w:val="32"/>
          <w:szCs w:val="32"/>
          <w:lang w:val="en-US" w:eastAsia="zh-CN"/>
        </w:rPr>
        <w:t>2.供应方出现下列行为，属于违约：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spacing w:before="120" w:after="12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eastAsia" w:ascii="方正黑体_GBK" w:hAnsi="方正黑体_GBK" w:eastAsia="方正黑体_GBK" w:cs="方正黑体_GBK"/>
          <w:b w:val="0"/>
          <w:bCs/>
          <w:sz w:val="36"/>
          <w:szCs w:val="36"/>
        </w:rPr>
      </w:pPr>
      <w:r>
        <w:rPr>
          <w:rFonts w:hint="eastAsia" w:ascii="方正黑体_GBK" w:hAnsi="方正黑体_GBK" w:eastAsia="方正黑体_GBK" w:cs="方正黑体_GBK"/>
          <w:b w:val="0"/>
          <w:bCs/>
          <w:sz w:val="36"/>
          <w:szCs w:val="36"/>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eastAsia" w:ascii="仿宋_GB2312" w:hAnsi="仿宋_GB2312" w:eastAsia="仿宋_GB2312" w:cs="仿宋_GB2312"/>
          <w:b/>
          <w:sz w:val="30"/>
          <w:szCs w:val="30"/>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2206</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keepNext w:val="0"/>
        <w:keepLines w:val="0"/>
        <w:pageBreakBefore w:val="0"/>
        <w:widowControl w:val="0"/>
        <w:kinsoku/>
        <w:overflowPunct/>
        <w:topLinePunct w:val="0"/>
        <w:autoSpaceDE/>
        <w:autoSpaceDN/>
        <w:bidi w:val="0"/>
        <w:adjustRightInd/>
        <w:snapToGrid/>
        <w:spacing w:line="600" w:lineRule="exact"/>
        <w:jc w:val="both"/>
        <w:textAlignment w:val="auto"/>
        <w:outlineLvl w:val="0"/>
        <w:rPr>
          <w:rFonts w:hint="default" w:ascii="Times New Roman" w:hAnsi="Times New Roman" w:eastAsia="方正仿宋_GBK" w:cs="Times New Roman"/>
          <w:b/>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both"/>
        <w:textAlignment w:val="auto"/>
        <w:outlineLvl w:val="0"/>
        <w:rPr>
          <w:rFonts w:hint="default" w:ascii="Times New Roman" w:hAnsi="Times New Roman" w:eastAsia="方正仿宋_GBK" w:cs="Times New Roman"/>
          <w:b/>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480"/>
        <w:jc w:val="lef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ind w:left="420" w:leftChars="200"/>
        <w:textAlignment w:val="auto"/>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keepNext w:val="0"/>
        <w:keepLines w:val="0"/>
        <w:pageBreakBefore w:val="0"/>
        <w:widowControl w:val="0"/>
        <w:kinsoku/>
        <w:overflowPunct/>
        <w:topLinePunct w:val="0"/>
        <w:autoSpaceDE/>
        <w:autoSpaceDN/>
        <w:bidi w:val="0"/>
        <w:adjustRightInd/>
        <w:snapToGrid/>
        <w:spacing w:line="600" w:lineRule="exact"/>
        <w:ind w:left="420" w:leftChars="200" w:firstLine="643" w:firstLineChars="200"/>
        <w:textAlignment w:val="auto"/>
        <w:rPr>
          <w:rFonts w:hint="default" w:ascii="Times New Roman" w:hAnsi="Times New Roman" w:eastAsia="方正仿宋_GBK" w:cs="Times New Roman"/>
          <w:b/>
          <w:kern w:val="0"/>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529306C8-CF82-40C6-81BF-F30D03291394}"/>
  </w:font>
  <w:font w:name="仿宋_GB2312">
    <w:panose1 w:val="02010609030101010101"/>
    <w:charset w:val="86"/>
    <w:family w:val="auto"/>
    <w:pitch w:val="default"/>
    <w:sig w:usb0="00000001" w:usb1="080E0000" w:usb2="00000000" w:usb3="00000000" w:csb0="00040000" w:csb1="00000000"/>
    <w:embedRegular r:id="rId2" w:fontKey="{02D2BC28-49D5-45F8-B566-C928EEFC9A04}"/>
  </w:font>
  <w:font w:name="方正仿宋_GBK">
    <w:panose1 w:val="03000509000000000000"/>
    <w:charset w:val="86"/>
    <w:family w:val="auto"/>
    <w:pitch w:val="default"/>
    <w:sig w:usb0="00000001" w:usb1="080E0000" w:usb2="00000000" w:usb3="00000000" w:csb0="00040000" w:csb1="00000000"/>
    <w:embedRegular r:id="rId3" w:fontKey="{4AC14226-4429-4D50-8355-A8304F35862C}"/>
  </w:font>
  <w:font w:name="方正黑体_GBK">
    <w:panose1 w:val="03000509000000000000"/>
    <w:charset w:val="86"/>
    <w:family w:val="auto"/>
    <w:pitch w:val="default"/>
    <w:sig w:usb0="00000001" w:usb1="080E0000" w:usb2="00000000" w:usb3="00000000" w:csb0="00040000" w:csb1="00000000"/>
    <w:embedRegular r:id="rId4" w:fontKey="{A9BB55A5-7D09-4137-8832-2008DB568E1F}"/>
  </w:font>
  <w:font w:name="方正楷体_GBK">
    <w:panose1 w:val="03000509000000000000"/>
    <w:charset w:val="86"/>
    <w:family w:val="auto"/>
    <w:pitch w:val="default"/>
    <w:sig w:usb0="00000001" w:usb1="080E0000" w:usb2="00000000" w:usb3="00000000" w:csb0="00040000" w:csb1="00000000"/>
    <w:embedRegular r:id="rId5" w:fontKey="{9DD3B592-6940-4B1B-9348-AA5149B06EED}"/>
  </w:font>
  <w:font w:name="仿宋">
    <w:panose1 w:val="02010609060101010101"/>
    <w:charset w:val="86"/>
    <w:family w:val="modern"/>
    <w:pitch w:val="default"/>
    <w:sig w:usb0="800002BF" w:usb1="38CF7CFA" w:usb2="00000016" w:usb3="00000000" w:csb0="00040001" w:csb1="00000000"/>
    <w:embedRegular r:id="rId6" w:fontKey="{FB9BBA79-AE6A-491C-8287-4E45942E1987}"/>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AE747F41"/>
    <w:multiLevelType w:val="singleLevel"/>
    <w:tmpl w:val="AE747F41"/>
    <w:lvl w:ilvl="0" w:tentative="0">
      <w:start w:val="1"/>
      <w:numFmt w:val="chineseCounting"/>
      <w:suff w:val="nothing"/>
      <w:lvlText w:val="（%1）"/>
      <w:lvlJc w:val="left"/>
      <w:pPr>
        <w:ind w:left="200"/>
      </w:pPr>
      <w:rPr>
        <w:rFonts w:hint="eastAsia"/>
      </w:rPr>
    </w:lvl>
  </w:abstractNum>
  <w:abstractNum w:abstractNumId="3">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6C7AD0"/>
    <w:rsid w:val="04785EAF"/>
    <w:rsid w:val="049836FC"/>
    <w:rsid w:val="04C4125D"/>
    <w:rsid w:val="04E470A0"/>
    <w:rsid w:val="056C5A14"/>
    <w:rsid w:val="061614DB"/>
    <w:rsid w:val="06925CE0"/>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0FE76514"/>
    <w:rsid w:val="1054157E"/>
    <w:rsid w:val="10B1077E"/>
    <w:rsid w:val="1102722C"/>
    <w:rsid w:val="11257151"/>
    <w:rsid w:val="11385FA3"/>
    <w:rsid w:val="113E7BC2"/>
    <w:rsid w:val="115B4B8E"/>
    <w:rsid w:val="11C664AC"/>
    <w:rsid w:val="11D707BB"/>
    <w:rsid w:val="11E06E41"/>
    <w:rsid w:val="11FC1ECD"/>
    <w:rsid w:val="128E689D"/>
    <w:rsid w:val="12F46D97"/>
    <w:rsid w:val="130C25E4"/>
    <w:rsid w:val="137309EC"/>
    <w:rsid w:val="13A445CA"/>
    <w:rsid w:val="13B301DE"/>
    <w:rsid w:val="14425B91"/>
    <w:rsid w:val="144D62AB"/>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F7F7C9A"/>
    <w:rsid w:val="1F9B25EB"/>
    <w:rsid w:val="1FDE2C12"/>
    <w:rsid w:val="205B24B5"/>
    <w:rsid w:val="209634ED"/>
    <w:rsid w:val="20F06FC9"/>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59C0EA4"/>
    <w:rsid w:val="25C3617D"/>
    <w:rsid w:val="260542C2"/>
    <w:rsid w:val="266D6A9E"/>
    <w:rsid w:val="267E514F"/>
    <w:rsid w:val="26881B2A"/>
    <w:rsid w:val="27196C26"/>
    <w:rsid w:val="27E92A9C"/>
    <w:rsid w:val="2871025D"/>
    <w:rsid w:val="28795B7C"/>
    <w:rsid w:val="28CA467C"/>
    <w:rsid w:val="28EF5E90"/>
    <w:rsid w:val="290336EA"/>
    <w:rsid w:val="2998405D"/>
    <w:rsid w:val="29F4673E"/>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B4CA9"/>
    <w:rsid w:val="2EFB7477"/>
    <w:rsid w:val="2F0D7070"/>
    <w:rsid w:val="2F6824F8"/>
    <w:rsid w:val="2F6F3847"/>
    <w:rsid w:val="2FCC711D"/>
    <w:rsid w:val="2FEE6EA1"/>
    <w:rsid w:val="3099481D"/>
    <w:rsid w:val="30C61BCC"/>
    <w:rsid w:val="31132887"/>
    <w:rsid w:val="311566B0"/>
    <w:rsid w:val="31E85B72"/>
    <w:rsid w:val="31F936CE"/>
    <w:rsid w:val="321C6A4F"/>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B9736F"/>
    <w:rsid w:val="43E31F32"/>
    <w:rsid w:val="440A1978"/>
    <w:rsid w:val="44315157"/>
    <w:rsid w:val="44696CBA"/>
    <w:rsid w:val="44CB2157"/>
    <w:rsid w:val="44D75CFE"/>
    <w:rsid w:val="4583725C"/>
    <w:rsid w:val="45A33E32"/>
    <w:rsid w:val="45C67B21"/>
    <w:rsid w:val="46173604"/>
    <w:rsid w:val="4660687E"/>
    <w:rsid w:val="468E063F"/>
    <w:rsid w:val="46EE5581"/>
    <w:rsid w:val="4710374A"/>
    <w:rsid w:val="4799729B"/>
    <w:rsid w:val="47AC188B"/>
    <w:rsid w:val="47EA2EED"/>
    <w:rsid w:val="491F3DE7"/>
    <w:rsid w:val="49425710"/>
    <w:rsid w:val="495B0D1E"/>
    <w:rsid w:val="49A40179"/>
    <w:rsid w:val="4A6D4FFD"/>
    <w:rsid w:val="4A7261F3"/>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A77E02"/>
    <w:rsid w:val="52B551A5"/>
    <w:rsid w:val="52D675F5"/>
    <w:rsid w:val="52FC0FB2"/>
    <w:rsid w:val="53634C01"/>
    <w:rsid w:val="53EE3DDA"/>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E824AD5"/>
    <w:rsid w:val="5F15142D"/>
    <w:rsid w:val="5F3A715E"/>
    <w:rsid w:val="60AE3960"/>
    <w:rsid w:val="60EC092C"/>
    <w:rsid w:val="60F24707"/>
    <w:rsid w:val="611C2FAD"/>
    <w:rsid w:val="61896BF6"/>
    <w:rsid w:val="61C54B0A"/>
    <w:rsid w:val="61E67129"/>
    <w:rsid w:val="621A6DD3"/>
    <w:rsid w:val="6302457D"/>
    <w:rsid w:val="630E06E5"/>
    <w:rsid w:val="636B5B38"/>
    <w:rsid w:val="63A26001"/>
    <w:rsid w:val="63D57455"/>
    <w:rsid w:val="642B3519"/>
    <w:rsid w:val="64EF09EB"/>
    <w:rsid w:val="65192AF2"/>
    <w:rsid w:val="654C7545"/>
    <w:rsid w:val="65827169"/>
    <w:rsid w:val="65EB05DD"/>
    <w:rsid w:val="6604622F"/>
    <w:rsid w:val="66815672"/>
    <w:rsid w:val="67507DF0"/>
    <w:rsid w:val="68103152"/>
    <w:rsid w:val="68B000E1"/>
    <w:rsid w:val="690E58E3"/>
    <w:rsid w:val="69801C11"/>
    <w:rsid w:val="69BF3465"/>
    <w:rsid w:val="6A596711"/>
    <w:rsid w:val="6B032AFA"/>
    <w:rsid w:val="6B1C1E0E"/>
    <w:rsid w:val="6B2111D2"/>
    <w:rsid w:val="6B7C465A"/>
    <w:rsid w:val="6BAE516A"/>
    <w:rsid w:val="6BDD159D"/>
    <w:rsid w:val="6C4A4DF5"/>
    <w:rsid w:val="6C615D2A"/>
    <w:rsid w:val="6E056B89"/>
    <w:rsid w:val="6E105C5A"/>
    <w:rsid w:val="6E5A6ED5"/>
    <w:rsid w:val="6F6F4C02"/>
    <w:rsid w:val="70141305"/>
    <w:rsid w:val="702E23C7"/>
    <w:rsid w:val="705A46C4"/>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2E5EF7"/>
    <w:rsid w:val="7771703D"/>
    <w:rsid w:val="778B6351"/>
    <w:rsid w:val="77A051BD"/>
    <w:rsid w:val="77AD62C7"/>
    <w:rsid w:val="78BC6898"/>
    <w:rsid w:val="78F87A16"/>
    <w:rsid w:val="79142376"/>
    <w:rsid w:val="79200D1B"/>
    <w:rsid w:val="7924080B"/>
    <w:rsid w:val="798E117E"/>
    <w:rsid w:val="799F7E92"/>
    <w:rsid w:val="79AB55F2"/>
    <w:rsid w:val="79E50905"/>
    <w:rsid w:val="7A102B3D"/>
    <w:rsid w:val="7A434CC1"/>
    <w:rsid w:val="7A6F5AB6"/>
    <w:rsid w:val="7A93026F"/>
    <w:rsid w:val="7AD8185C"/>
    <w:rsid w:val="7AE860BC"/>
    <w:rsid w:val="7B1E74DC"/>
    <w:rsid w:val="7BB06386"/>
    <w:rsid w:val="7BC41E31"/>
    <w:rsid w:val="7C853FF3"/>
    <w:rsid w:val="7C903B5C"/>
    <w:rsid w:val="7CE04A49"/>
    <w:rsid w:val="7D360D32"/>
    <w:rsid w:val="7DA71A0B"/>
    <w:rsid w:val="7E891110"/>
    <w:rsid w:val="7EB32494"/>
    <w:rsid w:val="7EF667A6"/>
    <w:rsid w:val="7FB65F35"/>
    <w:rsid w:val="7FE53058"/>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jc w:val="left"/>
      <w:outlineLvl w:val="0"/>
    </w:pPr>
    <w:rPr>
      <w:rFonts w:ascii="宋体" w:hAnsi="宋体"/>
      <w:b/>
      <w:kern w:val="44"/>
      <w:sz w:val="27"/>
      <w:szCs w:val="27"/>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Normal Indent1"/>
    <w:basedOn w:val="1"/>
    <w:qFormat/>
    <w:uiPriority w:val="0"/>
    <w:pPr>
      <w:ind w:firstLine="420" w:firstLineChars="200"/>
    </w:pPr>
    <w:rPr>
      <w:rFonts w:ascii="Calibri" w:hAnsi="Calibri" w:eastAsia="宋体"/>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2022-05-13T07:39:47Z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