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b/>
          <w:sz w:val="44"/>
          <w:szCs w:val="44"/>
        </w:rPr>
      </w:pPr>
      <w:r>
        <w:rPr>
          <w:rFonts w:hint="eastAsia" w:ascii="仿宋" w:hAnsi="仿宋" w:eastAsia="仿宋"/>
          <w:b/>
          <w:sz w:val="44"/>
          <w:szCs w:val="44"/>
        </w:rPr>
        <w:t>云南华瑞信会计师事务所有限公司</w:t>
      </w:r>
    </w:p>
    <w:p>
      <w:pPr>
        <w:spacing w:line="360" w:lineRule="auto"/>
        <w:jc w:val="center"/>
        <w:rPr>
          <w:rFonts w:ascii="宋体" w:hAnsi="宋体" w:eastAsia="宋体"/>
          <w:b/>
          <w:sz w:val="44"/>
          <w:szCs w:val="44"/>
        </w:rPr>
      </w:pPr>
      <w:r>
        <w:rPr>
          <w:rFonts w:hint="eastAsia" w:ascii="宋体" w:hAnsi="宋体" w:eastAsia="宋体"/>
          <w:sz w:val="24"/>
        </w:rPr>
        <w:t>华瑞信核字【</w:t>
      </w:r>
      <w:r>
        <w:rPr>
          <w:rFonts w:ascii="宋体" w:hAnsi="宋体" w:eastAsia="宋体"/>
          <w:sz w:val="24"/>
        </w:rPr>
        <w:t>201</w:t>
      </w:r>
      <w:r>
        <w:rPr>
          <w:rFonts w:hint="eastAsia" w:ascii="宋体" w:hAnsi="宋体" w:eastAsia="宋体"/>
          <w:sz w:val="24"/>
        </w:rPr>
        <w:t>9】第024号</w:t>
      </w:r>
    </w:p>
    <w:p>
      <w:pPr>
        <w:rPr>
          <w:rFonts w:ascii="宋体" w:hAnsi="宋体" w:eastAsia="宋体"/>
          <w:sz w:val="32"/>
          <w:szCs w:val="32"/>
        </w:rPr>
      </w:pPr>
      <w:r>
        <w:rPr>
          <w:rFonts w:ascii="Times New Roman" w:hAnsi="Times New Roman"/>
        </w:rPr>
        <w:pict>
          <v:line id="直接连接符 2" o:spid="_x0000_s1026" o:spt="20" style="position:absolute;left:0pt;flip:y;margin-left:0pt;margin-top:7.8pt;height:0.25pt;width:441pt;z-index:251659264;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v:path arrowok="t"/>
            <v:fill focussize="0,0"/>
            <v:stroke weight="1pt" startarrowwidth="narrow" startarrowlength="short" endarrowwidth="narrow" endarrowlength="short"/>
            <v:imagedata o:title=""/>
            <o:lock v:ext="edit"/>
          </v:line>
        </w:pict>
      </w:r>
      <w:r>
        <w:rPr>
          <w:rFonts w:ascii="宋体" w:hAnsi="宋体" w:eastAsia="宋体"/>
          <w:sz w:val="32"/>
          <w:szCs w:val="32"/>
        </w:rPr>
        <w:t xml:space="preserve">                   </w:t>
      </w:r>
    </w:p>
    <w:p>
      <w:pPr>
        <w:spacing w:line="360" w:lineRule="auto"/>
        <w:ind w:firstLine="743" w:firstLineChars="250"/>
        <w:jc w:val="center"/>
        <w:rPr>
          <w:rFonts w:ascii="仿宋" w:hAnsi="仿宋" w:eastAsia="仿宋"/>
          <w:b/>
          <w:bCs/>
          <w:sz w:val="32"/>
          <w:szCs w:val="32"/>
        </w:rPr>
      </w:pPr>
      <w:r>
        <w:rPr>
          <w:rFonts w:ascii="仿宋" w:hAnsi="仿宋" w:eastAsia="仿宋"/>
          <w:b/>
          <w:sz w:val="32"/>
          <w:szCs w:val="32"/>
        </w:rPr>
        <w:t>2017</w:t>
      </w:r>
      <w:r>
        <w:rPr>
          <w:rFonts w:hint="eastAsia" w:ascii="仿宋" w:hAnsi="仿宋" w:eastAsia="仿宋"/>
          <w:b/>
          <w:sz w:val="32"/>
          <w:szCs w:val="32"/>
        </w:rPr>
        <w:t>年曲靖市财政支出项目绩效评价</w:t>
      </w:r>
      <w:r>
        <w:rPr>
          <w:rFonts w:hint="eastAsia" w:ascii="仿宋" w:hAnsi="仿宋" w:eastAsia="仿宋"/>
          <w:b/>
          <w:bCs/>
          <w:sz w:val="32"/>
          <w:szCs w:val="32"/>
        </w:rPr>
        <w:t>报告</w:t>
      </w:r>
    </w:p>
    <w:p>
      <w:pPr>
        <w:spacing w:line="360" w:lineRule="auto"/>
        <w:ind w:firstLine="612"/>
        <w:jc w:val="center"/>
        <w:rPr>
          <w:rFonts w:ascii="宋体" w:hAnsi="宋体" w:eastAsia="宋体"/>
          <w:sz w:val="32"/>
          <w:szCs w:val="32"/>
        </w:rPr>
      </w:pPr>
      <w:r>
        <w:rPr>
          <w:rFonts w:ascii="仿宋" w:hAnsi="仿宋" w:eastAsia="仿宋"/>
          <w:sz w:val="32"/>
          <w:szCs w:val="32"/>
        </w:rPr>
        <w:softHyphen/>
      </w:r>
      <w:r>
        <w:rPr>
          <w:rFonts w:ascii="仿宋" w:hAnsi="仿宋" w:eastAsia="仿宋"/>
          <w:b/>
          <w:bCs/>
          <w:sz w:val="32"/>
          <w:szCs w:val="32"/>
        </w:rPr>
        <w:t>—</w:t>
      </w:r>
      <w:r>
        <w:rPr>
          <w:rFonts w:hint="eastAsia" w:ascii="仿宋" w:hAnsi="仿宋" w:eastAsia="仿宋"/>
          <w:b/>
          <w:sz w:val="32"/>
          <w:szCs w:val="32"/>
        </w:rPr>
        <w:t xml:space="preserve">四大重点产业发展基金 </w:t>
      </w:r>
    </w:p>
    <w:p>
      <w:pPr>
        <w:spacing w:beforeLines="100" w:afterLines="100" w:line="360" w:lineRule="exact"/>
        <w:jc w:val="left"/>
        <w:rPr>
          <w:rFonts w:ascii="宋体" w:hAnsi="宋体" w:eastAsia="宋体"/>
          <w:b/>
          <w:sz w:val="24"/>
        </w:rPr>
      </w:pPr>
      <w:r>
        <w:rPr>
          <w:rFonts w:hint="eastAsia" w:ascii="宋体" w:hAnsi="宋体" w:eastAsia="宋体"/>
          <w:b/>
          <w:sz w:val="24"/>
        </w:rPr>
        <w:t>曲靖市财政局</w:t>
      </w:r>
      <w:r>
        <w:rPr>
          <w:rFonts w:ascii="宋体" w:hAnsi="宋体" w:eastAsia="宋体"/>
          <w:b/>
          <w:sz w:val="24"/>
        </w:rPr>
        <w:t>:</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受曲靖市财政局委托，根据《曲靖市财政局关于开展市本级2017年度财政支出绩效重点评价工作有关事项的通知》曲财预【2018】203号等有关绩效评价的相关规定，云南华瑞信会计师事务所于</w:t>
      </w:r>
      <w:r>
        <w:rPr>
          <w:rFonts w:ascii="宋体" w:hAnsi="宋体" w:eastAsia="宋体"/>
          <w:sz w:val="24"/>
        </w:rPr>
        <w:t>201</w:t>
      </w:r>
      <w:r>
        <w:rPr>
          <w:rFonts w:hint="eastAsia" w:ascii="宋体" w:hAnsi="宋体" w:eastAsia="宋体"/>
          <w:sz w:val="24"/>
        </w:rPr>
        <w:t>9年1月10日对曲靖市工信委四大重点产业发展基金项目（以下简称本项目）进行了绩效评价，财务、程序及相关资料的真实性、完整性、合法性由曲靖市工信委负责，事务所的责任是对本项目进行绩效评价。结合曲靖市工信委的实际情况，对曲靖市工信委提供的自查报告、明细账、会计凭证、项目合同等相关资料实施了逐项查核、详细核查会计记录，通过设计项目绩效评价指标体系及评分表、现场勘察、问卷调查、询问等程序，形成本绩效评价报告。</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pPr>
        <w:tabs>
          <w:tab w:val="left" w:pos="3324"/>
        </w:tabs>
        <w:spacing w:before="100" w:beforeAutospacing="1" w:after="100" w:afterAutospacing="1" w:line="360" w:lineRule="exact"/>
        <w:ind w:firstLine="434" w:firstLineChars="200"/>
        <w:rPr>
          <w:rFonts w:ascii="黑体" w:hAnsi="黑体" w:eastAsia="黑体" w:cs="黑体"/>
          <w:b/>
          <w:bCs/>
          <w:sz w:val="24"/>
        </w:rPr>
      </w:pPr>
      <w:r>
        <w:rPr>
          <w:rFonts w:hint="eastAsia" w:ascii="黑体" w:hAnsi="黑体" w:eastAsia="黑体" w:cs="黑体"/>
          <w:b/>
          <w:bCs/>
          <w:sz w:val="24"/>
        </w:rPr>
        <w:t>一、基本情况</w:t>
      </w:r>
      <w:r>
        <w:rPr>
          <w:rFonts w:ascii="黑体" w:hAnsi="黑体" w:eastAsia="黑体" w:cs="黑体"/>
          <w:b/>
          <w:bCs/>
          <w:sz w:val="24"/>
        </w:rPr>
        <w:tab/>
      </w:r>
    </w:p>
    <w:p>
      <w:pPr>
        <w:tabs>
          <w:tab w:val="left" w:pos="2770"/>
        </w:tabs>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（一）项目概况</w:t>
      </w:r>
      <w:r>
        <w:rPr>
          <w:rFonts w:ascii="黑体" w:hAnsi="黑体" w:eastAsia="黑体" w:cs="黑体"/>
          <w:bCs/>
          <w:sz w:val="24"/>
        </w:rPr>
        <w:tab/>
      </w:r>
    </w:p>
    <w:p>
      <w:pPr>
        <w:spacing w:before="100" w:beforeAutospacing="1" w:after="100" w:afterAutospacing="1" w:line="500" w:lineRule="exact"/>
        <w:ind w:firstLine="434" w:firstLineChars="200"/>
        <w:rPr>
          <w:rFonts w:ascii="宋体" w:hAnsi="宋体" w:eastAsia="宋体"/>
          <w:kern w:val="0"/>
          <w:sz w:val="24"/>
        </w:rPr>
      </w:pPr>
      <w:r>
        <w:rPr>
          <w:rFonts w:hint="eastAsia" w:ascii="宋体" w:hAnsi="宋体" w:eastAsia="宋体"/>
          <w:kern w:val="0"/>
          <w:sz w:val="24"/>
        </w:rPr>
        <w:t xml:space="preserve"> 根据中共云南省委</w:t>
      </w:r>
      <w:r>
        <w:rPr>
          <w:rFonts w:ascii="宋体" w:hAnsi="宋体" w:eastAsia="宋体"/>
          <w:kern w:val="0"/>
          <w:sz w:val="24"/>
        </w:rPr>
        <w:t>.</w:t>
      </w:r>
      <w:r>
        <w:rPr>
          <w:rFonts w:hint="eastAsia" w:ascii="宋体" w:hAnsi="宋体" w:eastAsia="宋体"/>
          <w:kern w:val="0"/>
          <w:sz w:val="24"/>
        </w:rPr>
        <w:t>云南省人民政府《关于着力推进重点产业发展的若干意见》云发【</w:t>
      </w:r>
      <w:r>
        <w:rPr>
          <w:rFonts w:ascii="宋体" w:hAnsi="宋体" w:eastAsia="宋体"/>
          <w:kern w:val="0"/>
          <w:sz w:val="24"/>
        </w:rPr>
        <w:t>2016</w:t>
      </w:r>
      <w:r>
        <w:rPr>
          <w:rFonts w:hint="eastAsia" w:ascii="宋体" w:hAnsi="宋体" w:eastAsia="宋体"/>
          <w:kern w:val="0"/>
          <w:sz w:val="24"/>
        </w:rPr>
        <w:t>】</w:t>
      </w:r>
      <w:r>
        <w:rPr>
          <w:rFonts w:ascii="宋体" w:hAnsi="宋体" w:eastAsia="宋体"/>
          <w:kern w:val="0"/>
          <w:sz w:val="24"/>
        </w:rPr>
        <w:t>11</w:t>
      </w:r>
      <w:r>
        <w:rPr>
          <w:rFonts w:hint="eastAsia" w:ascii="宋体" w:hAnsi="宋体" w:eastAsia="宋体"/>
          <w:kern w:val="0"/>
          <w:sz w:val="24"/>
        </w:rPr>
        <w:t>号</w:t>
      </w:r>
      <w:r>
        <w:rPr>
          <w:rFonts w:ascii="宋体" w:hAnsi="宋体" w:eastAsia="宋体"/>
          <w:kern w:val="0"/>
          <w:sz w:val="24"/>
        </w:rPr>
        <w:t>及中共曲靖市委</w:t>
      </w:r>
      <w:r>
        <w:rPr>
          <w:rFonts w:hint="eastAsia" w:ascii="宋体" w:hAnsi="宋体" w:eastAsia="宋体"/>
          <w:kern w:val="0"/>
          <w:sz w:val="24"/>
        </w:rPr>
        <w:t xml:space="preserve"> 曲靖市人民政府《关于着力推进重点产业发展的实施意见》曲发【2016】21号精神，设立云南省重点产业发展基金，以更好发挥政府引导社会资金作用，充分发挥市场在资源配置中的决定性作用，调整财政资金支持方式，对属于竞争性领域的产业，政府由直接支持具体项目改为设立投资基金，吸引社会资金投入，有效释放社会投资的潜力，着力推进重点产业发展，确保实现全省重点产业发展目标和任务。四大重点产业发展基金包含：高原特色农业和生物资源加工；有色金属深加工和液态金属产业；军民融合现代装备制造产业；精细化工产业。</w:t>
      </w:r>
      <w:r>
        <w:rPr>
          <w:rFonts w:hint="eastAsia" w:asciiTheme="minorEastAsia" w:hAnsiTheme="minorEastAsia" w:eastAsiaTheme="minorEastAsia"/>
          <w:sz w:val="24"/>
        </w:rPr>
        <w:t xml:space="preserve"> </w:t>
      </w:r>
    </w:p>
    <w:p>
      <w:pPr>
        <w:tabs>
          <w:tab w:val="left" w:pos="2770"/>
        </w:tabs>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（二）项目绩效目标</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曲靖市工信委申报的“四大重点产业发展基金”绩效目标</w:t>
      </w:r>
      <w:r>
        <w:rPr>
          <w:rFonts w:hint="eastAsia" w:ascii="宋体" w:hAnsi="宋体" w:eastAsia="宋体" w:cs="宋体"/>
          <w:sz w:val="24"/>
        </w:rPr>
        <w:t>为：①</w:t>
      </w:r>
      <w:r>
        <w:rPr>
          <w:rFonts w:hint="eastAsia" w:asciiTheme="minorEastAsia" w:hAnsiTheme="minorEastAsia" w:eastAsiaTheme="minorEastAsia"/>
          <w:sz w:val="24"/>
        </w:rPr>
        <w:t>到</w:t>
      </w:r>
      <w:r>
        <w:rPr>
          <w:rFonts w:asciiTheme="minorEastAsia" w:hAnsiTheme="minorEastAsia" w:eastAsiaTheme="minorEastAsia"/>
          <w:sz w:val="24"/>
        </w:rPr>
        <w:t>2020</w:t>
      </w:r>
      <w:r>
        <w:rPr>
          <w:rFonts w:hint="eastAsia" w:asciiTheme="minorEastAsia" w:hAnsiTheme="minorEastAsia" w:eastAsiaTheme="minorEastAsia"/>
          <w:sz w:val="24"/>
        </w:rPr>
        <w:t>年，军民融合现代装备制造业增加值达</w:t>
      </w:r>
      <w:r>
        <w:rPr>
          <w:rFonts w:asciiTheme="minorEastAsia" w:hAnsiTheme="minorEastAsia" w:eastAsiaTheme="minorEastAsia"/>
          <w:sz w:val="24"/>
        </w:rPr>
        <w:t>100</w:t>
      </w:r>
      <w:r>
        <w:rPr>
          <w:rFonts w:hint="eastAsia" w:asciiTheme="minorEastAsia" w:hAnsiTheme="minorEastAsia" w:eastAsiaTheme="minorEastAsia"/>
          <w:sz w:val="24"/>
        </w:rPr>
        <w:t>亿元，年均增长</w:t>
      </w:r>
      <w:r>
        <w:rPr>
          <w:rFonts w:asciiTheme="minorEastAsia" w:hAnsiTheme="minorEastAsia" w:eastAsiaTheme="minorEastAsia"/>
          <w:sz w:val="24"/>
        </w:rPr>
        <w:t>30%</w:t>
      </w:r>
      <w:r>
        <w:rPr>
          <w:rFonts w:hint="eastAsia" w:asciiTheme="minorEastAsia" w:hAnsiTheme="minorEastAsia" w:eastAsiaTheme="minorEastAsia"/>
          <w:sz w:val="24"/>
        </w:rPr>
        <w:t>以上；②到</w:t>
      </w:r>
      <w:r>
        <w:rPr>
          <w:rFonts w:asciiTheme="minorEastAsia" w:hAnsiTheme="minorEastAsia" w:eastAsiaTheme="minorEastAsia"/>
          <w:sz w:val="24"/>
        </w:rPr>
        <w:t xml:space="preserve"> 2020</w:t>
      </w:r>
      <w:r>
        <w:rPr>
          <w:rFonts w:hint="eastAsia" w:asciiTheme="minorEastAsia" w:hAnsiTheme="minorEastAsia" w:eastAsiaTheme="minorEastAsia"/>
          <w:sz w:val="24"/>
        </w:rPr>
        <w:t>年，全市高原特色农业及生物源加工业总产值达到</w:t>
      </w:r>
      <w:r>
        <w:rPr>
          <w:rFonts w:asciiTheme="minorEastAsia" w:hAnsiTheme="minorEastAsia" w:eastAsiaTheme="minorEastAsia"/>
          <w:sz w:val="24"/>
        </w:rPr>
        <w:t>1030</w:t>
      </w:r>
      <w:r>
        <w:rPr>
          <w:rFonts w:hint="eastAsia" w:asciiTheme="minorEastAsia" w:hAnsiTheme="minorEastAsia" w:eastAsiaTheme="minorEastAsia"/>
          <w:sz w:val="24"/>
        </w:rPr>
        <w:t>亿元，增加值达</w:t>
      </w:r>
      <w:r>
        <w:rPr>
          <w:rFonts w:asciiTheme="minorEastAsia" w:hAnsiTheme="minorEastAsia" w:eastAsiaTheme="minorEastAsia"/>
          <w:sz w:val="24"/>
        </w:rPr>
        <w:t>482</w:t>
      </w:r>
      <w:r>
        <w:rPr>
          <w:rFonts w:hint="eastAsia" w:asciiTheme="minorEastAsia" w:hAnsiTheme="minorEastAsia" w:eastAsiaTheme="minorEastAsia"/>
          <w:sz w:val="24"/>
        </w:rPr>
        <w:t>亿元；③到</w:t>
      </w:r>
      <w:r>
        <w:rPr>
          <w:rFonts w:asciiTheme="minorEastAsia" w:hAnsiTheme="minorEastAsia" w:eastAsiaTheme="minorEastAsia"/>
          <w:sz w:val="24"/>
        </w:rPr>
        <w:t>2020</w:t>
      </w:r>
      <w:r>
        <w:rPr>
          <w:rFonts w:hint="eastAsia" w:asciiTheme="minorEastAsia" w:hAnsiTheme="minorEastAsia" w:eastAsiaTheme="minorEastAsia"/>
          <w:sz w:val="24"/>
        </w:rPr>
        <w:t>年，有色金属深加工及液态金属产业实现工业增加值</w:t>
      </w:r>
      <w:r>
        <w:rPr>
          <w:rFonts w:asciiTheme="minorEastAsia" w:hAnsiTheme="minorEastAsia" w:eastAsiaTheme="minorEastAsia"/>
          <w:sz w:val="24"/>
        </w:rPr>
        <w:t>200</w:t>
      </w:r>
      <w:r>
        <w:rPr>
          <w:rFonts w:hint="eastAsia" w:asciiTheme="minorEastAsia" w:hAnsiTheme="minorEastAsia" w:eastAsiaTheme="minorEastAsia"/>
          <w:sz w:val="24"/>
        </w:rPr>
        <w:t>亿元，年均增长</w:t>
      </w:r>
      <w:r>
        <w:rPr>
          <w:rFonts w:asciiTheme="minorEastAsia" w:hAnsiTheme="minorEastAsia" w:eastAsiaTheme="minorEastAsia"/>
          <w:sz w:val="24"/>
        </w:rPr>
        <w:t>46%</w:t>
      </w:r>
      <w:r>
        <w:rPr>
          <w:rFonts w:hint="eastAsia" w:asciiTheme="minorEastAsia" w:hAnsiTheme="minorEastAsia" w:eastAsiaTheme="minorEastAsia"/>
          <w:sz w:val="24"/>
        </w:rPr>
        <w:t>；④到</w:t>
      </w:r>
      <w:r>
        <w:rPr>
          <w:rFonts w:asciiTheme="minorEastAsia" w:hAnsiTheme="minorEastAsia" w:eastAsiaTheme="minorEastAsia"/>
          <w:sz w:val="24"/>
        </w:rPr>
        <w:t>2020</w:t>
      </w:r>
      <w:r>
        <w:rPr>
          <w:rFonts w:hint="eastAsia" w:asciiTheme="minorEastAsia" w:hAnsiTheme="minorEastAsia" w:eastAsiaTheme="minorEastAsia"/>
          <w:sz w:val="24"/>
        </w:rPr>
        <w:t>年，精细化工产业年均增速达</w:t>
      </w:r>
      <w:r>
        <w:rPr>
          <w:rFonts w:asciiTheme="minorEastAsia" w:hAnsiTheme="minorEastAsia" w:eastAsiaTheme="minorEastAsia"/>
          <w:sz w:val="24"/>
        </w:rPr>
        <w:t>11%</w:t>
      </w:r>
      <w:r>
        <w:rPr>
          <w:rFonts w:hint="eastAsia" w:asciiTheme="minorEastAsia" w:hAnsiTheme="minorEastAsia" w:eastAsiaTheme="minorEastAsia"/>
          <w:sz w:val="24"/>
        </w:rPr>
        <w:t>，增加值达到</w:t>
      </w:r>
      <w:r>
        <w:rPr>
          <w:rFonts w:asciiTheme="minorEastAsia" w:hAnsiTheme="minorEastAsia" w:eastAsiaTheme="minorEastAsia"/>
          <w:sz w:val="24"/>
        </w:rPr>
        <w:t>160</w:t>
      </w:r>
      <w:r>
        <w:rPr>
          <w:rFonts w:hint="eastAsia" w:asciiTheme="minorEastAsia" w:hAnsiTheme="minorEastAsia" w:eastAsiaTheme="minorEastAsia"/>
          <w:sz w:val="24"/>
        </w:rPr>
        <w:t>亿元，占全市生产总值的</w:t>
      </w:r>
      <w:r>
        <w:rPr>
          <w:rFonts w:asciiTheme="minorEastAsia" w:hAnsiTheme="minorEastAsia" w:eastAsiaTheme="minorEastAsia"/>
          <w:sz w:val="24"/>
        </w:rPr>
        <w:t>6.4%</w:t>
      </w:r>
      <w:r>
        <w:rPr>
          <w:rFonts w:hint="eastAsia" w:asciiTheme="minorEastAsia" w:hAnsiTheme="minorEastAsia" w:eastAsiaTheme="minorEastAsia"/>
          <w:sz w:val="24"/>
        </w:rPr>
        <w:t>。</w:t>
      </w:r>
    </w:p>
    <w:p>
      <w:pPr>
        <w:spacing w:before="100" w:beforeAutospacing="1" w:after="100" w:afterAutospacing="1" w:line="360" w:lineRule="exact"/>
        <w:ind w:firstLine="434" w:firstLineChars="200"/>
        <w:rPr>
          <w:rFonts w:ascii="黑体" w:hAnsi="黑体" w:eastAsia="黑体" w:cs="黑体"/>
          <w:b/>
          <w:bCs/>
          <w:sz w:val="24"/>
        </w:rPr>
      </w:pPr>
      <w:r>
        <w:rPr>
          <w:rFonts w:hint="eastAsia" w:ascii="黑体" w:hAnsi="黑体" w:eastAsia="黑体" w:cs="黑体"/>
          <w:b/>
          <w:bCs/>
          <w:sz w:val="24"/>
        </w:rPr>
        <w:t>二、项目单位绩效自评报告情况</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曲靖市工信委未对本项目进行自评，未能提供绩效自评报告。</w:t>
      </w:r>
    </w:p>
    <w:p>
      <w:pPr>
        <w:spacing w:before="100" w:beforeAutospacing="1" w:after="100" w:afterAutospacing="1" w:line="360" w:lineRule="exact"/>
        <w:ind w:firstLine="434" w:firstLineChars="200"/>
        <w:rPr>
          <w:rFonts w:ascii="黑体" w:hAnsi="黑体" w:eastAsia="黑体" w:cs="黑体"/>
          <w:b/>
          <w:bCs/>
          <w:sz w:val="24"/>
        </w:rPr>
      </w:pPr>
      <w:r>
        <w:rPr>
          <w:rFonts w:hint="eastAsia" w:ascii="黑体" w:hAnsi="黑体" w:eastAsia="黑体" w:cs="黑体"/>
          <w:b/>
          <w:bCs/>
          <w:sz w:val="24"/>
        </w:rPr>
        <w:t>三、绩效评价工作情况</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（一）绩效评价目的</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（二）绩效评价原则、评价指标体系、评价方法</w:t>
      </w:r>
    </w:p>
    <w:p>
      <w:pPr>
        <w:spacing w:before="100" w:beforeAutospacing="1" w:after="100" w:afterAutospacing="1" w:line="500" w:lineRule="exact"/>
        <w:ind w:firstLine="434" w:firstLineChars="200"/>
        <w:rPr>
          <w:rFonts w:ascii="宋体" w:hAnsi="宋体" w:eastAsia="宋体"/>
          <w:sz w:val="24"/>
        </w:rPr>
      </w:pPr>
      <w:r>
        <w:rPr>
          <w:rFonts w:ascii="宋体" w:hAnsi="宋体" w:eastAsia="宋体"/>
          <w:sz w:val="24"/>
        </w:rPr>
        <w:t>1</w:t>
      </w:r>
      <w:r>
        <w:rPr>
          <w:rFonts w:hint="eastAsia" w:ascii="宋体" w:hAnsi="宋体" w:eastAsia="宋体"/>
          <w:sz w:val="24"/>
        </w:rPr>
        <w:t>.绩效评价原则</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w:t>
      </w:r>
      <w:r>
        <w:rPr>
          <w:rFonts w:ascii="宋体" w:hAnsi="宋体" w:eastAsia="宋体"/>
          <w:sz w:val="24"/>
        </w:rPr>
        <w:t>1</w:t>
      </w:r>
      <w:r>
        <w:rPr>
          <w:rFonts w:hint="eastAsia" w:ascii="宋体" w:hAnsi="宋体" w:eastAsia="宋体"/>
          <w:sz w:val="24"/>
        </w:rPr>
        <w:t>）科学规范原则。我们将严格执行规定的程序，按照科学可行的要求，采用定量与定性分析相结合的方法，对对曲靖市工信委四大重点产业发展基金项目资金使用的情况进行绩效评价。</w:t>
      </w:r>
      <w:r>
        <w:rPr>
          <w:rFonts w:ascii="宋体" w:hAnsi="宋体" w:eastAsia="宋体"/>
          <w:sz w:val="24"/>
        </w:rPr>
        <w:t xml:space="preserve"> </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w:t>
      </w:r>
      <w:r>
        <w:rPr>
          <w:rFonts w:ascii="宋体" w:hAnsi="宋体" w:eastAsia="宋体"/>
          <w:sz w:val="24"/>
        </w:rPr>
        <w:t>2</w:t>
      </w:r>
      <w:r>
        <w:rPr>
          <w:rFonts w:hint="eastAsia" w:ascii="宋体" w:hAnsi="宋体" w:eastAsia="宋体"/>
          <w:sz w:val="24"/>
        </w:rPr>
        <w:t>）公正公开原则。本次绩效评价符合真实、客观、公正的要求，依法公开并接受监督。</w:t>
      </w:r>
      <w:r>
        <w:rPr>
          <w:rFonts w:ascii="宋体" w:hAnsi="宋体" w:eastAsia="宋体"/>
          <w:sz w:val="24"/>
        </w:rPr>
        <w:t xml:space="preserve"> </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w:t>
      </w:r>
      <w:r>
        <w:rPr>
          <w:rFonts w:ascii="宋体" w:hAnsi="宋体" w:eastAsia="宋体"/>
          <w:sz w:val="24"/>
        </w:rPr>
        <w:t>3</w:t>
      </w:r>
      <w:r>
        <w:rPr>
          <w:rFonts w:hint="eastAsia" w:ascii="宋体" w:hAnsi="宋体" w:eastAsia="宋体"/>
          <w:sz w:val="24"/>
        </w:rPr>
        <w:t>）分级分类原则。本次绩效评价按评价对象的特点分类组织实施。</w:t>
      </w:r>
      <w:r>
        <w:rPr>
          <w:rFonts w:ascii="宋体" w:hAnsi="宋体" w:eastAsia="宋体"/>
          <w:sz w:val="24"/>
        </w:rPr>
        <w:t xml:space="preserve"> </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w:t>
      </w:r>
      <w:r>
        <w:rPr>
          <w:rFonts w:ascii="宋体" w:hAnsi="宋体" w:eastAsia="宋体"/>
          <w:sz w:val="24"/>
        </w:rPr>
        <w:t>4</w:t>
      </w:r>
      <w:r>
        <w:rPr>
          <w:rFonts w:hint="eastAsia" w:ascii="宋体" w:hAnsi="宋体" w:eastAsia="宋体"/>
          <w:sz w:val="24"/>
        </w:rPr>
        <w:t>）绩效相关原则。我们使用与绩效目标有直接联系，能够恰当反映目标实现程度的绩效评价指标。</w:t>
      </w:r>
    </w:p>
    <w:p>
      <w:pPr>
        <w:spacing w:before="100" w:beforeAutospacing="1" w:after="100" w:afterAutospacing="1" w:line="500" w:lineRule="exact"/>
        <w:ind w:firstLine="434" w:firstLineChars="200"/>
        <w:rPr>
          <w:rFonts w:ascii="宋体" w:hAnsi="宋体" w:eastAsia="宋体"/>
          <w:sz w:val="24"/>
        </w:rPr>
      </w:pPr>
      <w:r>
        <w:rPr>
          <w:rFonts w:ascii="宋体" w:hAnsi="宋体" w:eastAsia="宋体"/>
          <w:sz w:val="24"/>
        </w:rPr>
        <w:t>2</w:t>
      </w:r>
      <w:r>
        <w:rPr>
          <w:rFonts w:hint="eastAsia" w:ascii="宋体" w:hAnsi="宋体" w:eastAsia="宋体"/>
          <w:sz w:val="24"/>
        </w:rPr>
        <w:t>.评价指标体系</w:t>
      </w:r>
      <w:r>
        <w:rPr>
          <w:rFonts w:ascii="宋体" w:hAnsi="宋体" w:eastAsia="宋体"/>
          <w:sz w:val="24"/>
        </w:rPr>
        <w:t xml:space="preserve"> </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评价指标体系是开展绩效评价工作的核心。评价小组在参考财政支出绩效评价指标框架的基础上，结合对曲靖市工信委四大重点产业发展基金项目经费项目的特点，运用定量定性原则，确定了绩效评价指标。</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绩效评价框架包括投入、过程、产出、绩效等四个方面。</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评价指标体系详见附表。</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3.绩效评价方法</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采用自评与抽查相结合的方式，应用成本效益法、因素分析法、比较法、公众评议法等方法进行评价。</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（三）绩效评价工作过程</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为使绩效评价工作顺利开展，由曲靖市财政局牵头，云南华瑞信会计师事务所相关人员参与，成立绩效评价工作组，负责整个评价工作的组织、协调和具体实施。具体评价工作过程如下：</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1.前期准备</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2018年12月25日，曲靖市财政局下发《曲靖市财政局关于开展市本级2017年度财政支出绩效重点评价工作有关事项的通知》曲财预【2018】203号文件，在认真研读上述文件的基础上，及时与项目承接单位联系和沟通，制定具体的绩效评价实施方案和项目支出绩效评价指标体系框架与评分细则。</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2.组织实施</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从2019年1月10日起，我们对本项目进行了数据采集、资料收集，并实地进行了社会服务满意度调查。</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3.分析评价</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具体情况详见第四部分绩效评价指标分析情况。</w:t>
      </w:r>
    </w:p>
    <w:p>
      <w:pPr>
        <w:spacing w:before="100" w:beforeAutospacing="1" w:after="100" w:afterAutospacing="1" w:line="360" w:lineRule="exact"/>
        <w:ind w:firstLine="434" w:firstLineChars="200"/>
        <w:rPr>
          <w:rFonts w:ascii="黑体" w:hAnsi="黑体" w:eastAsia="黑体" w:cs="黑体"/>
          <w:b/>
          <w:bCs/>
          <w:sz w:val="24"/>
        </w:rPr>
      </w:pPr>
      <w:r>
        <w:rPr>
          <w:rFonts w:hint="eastAsia" w:ascii="黑体" w:hAnsi="黑体" w:eastAsia="黑体" w:cs="黑体"/>
          <w:b/>
          <w:bCs/>
          <w:sz w:val="24"/>
        </w:rPr>
        <w:t>四、绩效评价指标分析情况</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（一）项目资金情况分析</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 xml:space="preserve">1.项目资金到位情况分析 </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（1）根据曲靖市财政局《关于下达2017年工业四大重点产业发展基金的通知》曲财产业【2017】44号，批复用于四大重点产业发展基金项目，配套资金12</w:t>
      </w:r>
      <w:r>
        <w:rPr>
          <w:rFonts w:ascii="宋体" w:hAnsi="宋体" w:eastAsia="宋体"/>
          <w:sz w:val="24"/>
        </w:rPr>
        <w:t>,</w:t>
      </w:r>
      <w:r>
        <w:rPr>
          <w:rFonts w:hint="eastAsia" w:ascii="宋体" w:hAnsi="宋体" w:eastAsia="宋体"/>
          <w:sz w:val="24"/>
        </w:rPr>
        <w:t>000</w:t>
      </w:r>
      <w:r>
        <w:rPr>
          <w:rFonts w:ascii="宋体" w:hAnsi="宋体" w:eastAsia="宋体"/>
          <w:sz w:val="24"/>
        </w:rPr>
        <w:t>.00</w:t>
      </w:r>
      <w:r>
        <w:rPr>
          <w:rFonts w:hint="eastAsia" w:ascii="宋体" w:hAnsi="宋体" w:eastAsia="宋体"/>
          <w:sz w:val="24"/>
        </w:rPr>
        <w:t>万元；</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（2）曲靖市财政局 曲靖市工业和信息化委员会《关于下达2017年调整部分工业专业资金用途的通知》曲财产业【2017】125号，将“民营（非公有制）经济、中小企业发展专项资金3</w:t>
      </w:r>
      <w:r>
        <w:rPr>
          <w:rFonts w:ascii="宋体" w:hAnsi="宋体" w:eastAsia="宋体"/>
          <w:sz w:val="24"/>
        </w:rPr>
        <w:t>,</w:t>
      </w:r>
      <w:r>
        <w:rPr>
          <w:rFonts w:hint="eastAsia" w:ascii="宋体" w:hAnsi="宋体" w:eastAsia="宋体"/>
          <w:sz w:val="24"/>
        </w:rPr>
        <w:t>690</w:t>
      </w:r>
      <w:r>
        <w:rPr>
          <w:rFonts w:ascii="宋体" w:hAnsi="宋体" w:eastAsia="宋体"/>
          <w:sz w:val="24"/>
        </w:rPr>
        <w:t>.00</w:t>
      </w:r>
      <w:r>
        <w:rPr>
          <w:rFonts w:hint="eastAsia" w:ascii="宋体" w:hAnsi="宋体" w:eastAsia="宋体"/>
          <w:sz w:val="24"/>
        </w:rPr>
        <w:t>万元中的2</w:t>
      </w:r>
      <w:r>
        <w:rPr>
          <w:rFonts w:ascii="宋体" w:hAnsi="宋体" w:eastAsia="宋体"/>
          <w:sz w:val="24"/>
        </w:rPr>
        <w:t>,</w:t>
      </w:r>
      <w:r>
        <w:rPr>
          <w:rFonts w:hint="eastAsia" w:ascii="宋体" w:hAnsi="宋体" w:eastAsia="宋体"/>
          <w:sz w:val="24"/>
        </w:rPr>
        <w:t>292</w:t>
      </w:r>
      <w:r>
        <w:rPr>
          <w:rFonts w:ascii="宋体" w:hAnsi="宋体" w:eastAsia="宋体"/>
          <w:sz w:val="24"/>
        </w:rPr>
        <w:t>.00</w:t>
      </w:r>
      <w:r>
        <w:rPr>
          <w:rFonts w:hint="eastAsia" w:ascii="宋体" w:hAnsi="宋体" w:eastAsia="宋体"/>
          <w:sz w:val="24"/>
        </w:rPr>
        <w:t>元及“2016年工业经济稳增长奖励资金1</w:t>
      </w:r>
      <w:r>
        <w:rPr>
          <w:rFonts w:ascii="宋体" w:hAnsi="宋体" w:eastAsia="宋体"/>
          <w:sz w:val="24"/>
        </w:rPr>
        <w:t>,</w:t>
      </w:r>
      <w:r>
        <w:rPr>
          <w:rFonts w:hint="eastAsia" w:ascii="宋体" w:hAnsi="宋体" w:eastAsia="宋体"/>
          <w:sz w:val="24"/>
        </w:rPr>
        <w:t>850</w:t>
      </w:r>
      <w:r>
        <w:rPr>
          <w:rFonts w:ascii="宋体" w:hAnsi="宋体" w:eastAsia="宋体"/>
          <w:sz w:val="24"/>
        </w:rPr>
        <w:t>.00</w:t>
      </w:r>
      <w:r>
        <w:rPr>
          <w:rFonts w:hint="eastAsia" w:ascii="宋体" w:hAnsi="宋体" w:eastAsia="宋体"/>
          <w:sz w:val="24"/>
        </w:rPr>
        <w:t>万元中的691.55万元调整到“四大重点产业发展基金”项目，预算调整项目金额2</w:t>
      </w:r>
      <w:r>
        <w:rPr>
          <w:rFonts w:ascii="宋体" w:hAnsi="宋体" w:eastAsia="宋体"/>
          <w:sz w:val="24"/>
        </w:rPr>
        <w:t>,</w:t>
      </w:r>
      <w:r>
        <w:rPr>
          <w:rFonts w:hint="eastAsia" w:ascii="宋体" w:hAnsi="宋体" w:eastAsia="宋体"/>
          <w:sz w:val="24"/>
        </w:rPr>
        <w:t>983.55万元。</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2017年度，曲靖市财政局直接拨付四大重点产业发展基金项目到曲靖市投融资担保有限公司，资金到位14</w:t>
      </w:r>
      <w:r>
        <w:rPr>
          <w:rFonts w:ascii="宋体" w:hAnsi="宋体" w:eastAsia="宋体"/>
          <w:sz w:val="24"/>
        </w:rPr>
        <w:t>,</w:t>
      </w:r>
      <w:r>
        <w:rPr>
          <w:rFonts w:hint="eastAsia" w:ascii="宋体" w:hAnsi="宋体" w:eastAsia="宋体"/>
          <w:sz w:val="24"/>
        </w:rPr>
        <w:t xml:space="preserve">983.55万元，到位率100%。  </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 xml:space="preserve">2.项目资金使用情况分析 </w:t>
      </w:r>
    </w:p>
    <w:p>
      <w:pPr>
        <w:spacing w:before="100" w:beforeAutospacing="1" w:after="100" w:afterAutospacing="1" w:line="500" w:lineRule="exact"/>
        <w:ind w:firstLine="651" w:firstLineChars="300"/>
        <w:rPr>
          <w:rFonts w:cs="Times New Roman" w:asciiTheme="minorEastAsia" w:hAnsiTheme="minorEastAsia" w:eastAsiaTheme="minorEastAsia"/>
          <w:sz w:val="24"/>
        </w:rPr>
      </w:pPr>
      <w:r>
        <w:rPr>
          <w:rFonts w:hint="eastAsia" w:ascii="宋体" w:hAnsi="宋体" w:eastAsia="宋体"/>
          <w:sz w:val="24"/>
        </w:rPr>
        <w:t>2017年度四大重点产业发展基金项目资金到位14</w:t>
      </w:r>
      <w:r>
        <w:rPr>
          <w:rFonts w:ascii="宋体" w:hAnsi="宋体" w:eastAsia="宋体"/>
          <w:sz w:val="24"/>
        </w:rPr>
        <w:t>,</w:t>
      </w:r>
      <w:r>
        <w:rPr>
          <w:rFonts w:hint="eastAsia" w:ascii="宋体" w:hAnsi="宋体" w:eastAsia="宋体"/>
          <w:sz w:val="24"/>
        </w:rPr>
        <w:t>983.55万元，到位率100%。</w:t>
      </w:r>
      <w:r>
        <w:rPr>
          <w:rFonts w:cs="Times New Roman" w:asciiTheme="minorEastAsia" w:hAnsiTheme="minorEastAsia" w:eastAsiaTheme="minorEastAsia"/>
          <w:sz w:val="24"/>
        </w:rPr>
        <w:t>经对项目延伸检查</w:t>
      </w:r>
      <w:r>
        <w:rPr>
          <w:rFonts w:hint="eastAsia" w:cs="Times New Roman" w:asciiTheme="minorEastAsia" w:hAnsiTheme="minorEastAsia" w:eastAsiaTheme="minorEastAsia"/>
          <w:sz w:val="24"/>
        </w:rPr>
        <w:t>，</w:t>
      </w:r>
      <w:r>
        <w:rPr>
          <w:rFonts w:hint="eastAsia" w:ascii="宋体" w:hAnsi="宋体" w:eastAsia="宋体"/>
          <w:sz w:val="24"/>
        </w:rPr>
        <w:t>曲靖市投融资担保有限公司将项目资金借款给</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曲靖市麒麟区工业园区开发投资有限责任公司</w:t>
      </w:r>
      <w:r>
        <w:rPr>
          <w:rFonts w:hint="eastAsia" w:cs="Times New Roman" w:asciiTheme="minorEastAsia" w:hAnsiTheme="minorEastAsia" w:eastAsiaTheme="minorEastAsia"/>
          <w:sz w:val="24"/>
        </w:rPr>
        <w:t>10</w:t>
      </w:r>
      <w:r>
        <w:rPr>
          <w:rFonts w:cs="Times New Roman" w:asciiTheme="minorEastAsia" w:hAnsiTheme="minorEastAsia" w:eastAsiaTheme="minorEastAsia"/>
          <w:sz w:val="24"/>
        </w:rPr>
        <w:t>,</w:t>
      </w:r>
      <w:r>
        <w:rPr>
          <w:rFonts w:hint="eastAsia" w:cs="Times New Roman" w:asciiTheme="minorEastAsia" w:hAnsiTheme="minorEastAsia" w:eastAsiaTheme="minorEastAsia"/>
          <w:sz w:val="24"/>
        </w:rPr>
        <w:t>000</w:t>
      </w:r>
      <w:r>
        <w:rPr>
          <w:rFonts w:cs="Times New Roman" w:asciiTheme="minorEastAsia" w:hAnsiTheme="minorEastAsia" w:eastAsiaTheme="minorEastAsia"/>
          <w:sz w:val="24"/>
        </w:rPr>
        <w:t>.00</w:t>
      </w:r>
      <w:r>
        <w:rPr>
          <w:rFonts w:hint="eastAsia" w:cs="Times New Roman" w:asciiTheme="minorEastAsia" w:hAnsiTheme="minorEastAsia" w:eastAsiaTheme="minorEastAsia"/>
          <w:sz w:val="24"/>
        </w:rPr>
        <w:t>万；</w:t>
      </w:r>
      <w:r>
        <w:rPr>
          <w:rFonts w:cs="Times New Roman" w:asciiTheme="minorEastAsia" w:hAnsiTheme="minorEastAsia" w:eastAsiaTheme="minorEastAsia"/>
          <w:sz w:val="24"/>
        </w:rPr>
        <w:t>曲靖市麒麟区工业园区开发投资有限责任公司收到资金后</w:t>
      </w:r>
      <w:r>
        <w:rPr>
          <w:rFonts w:hint="eastAsia" w:cs="Times New Roman" w:asciiTheme="minorEastAsia" w:hAnsiTheme="minorEastAsia" w:eastAsiaTheme="minorEastAsia"/>
          <w:sz w:val="24"/>
        </w:rPr>
        <w:t>拨付</w:t>
      </w:r>
      <w:r>
        <w:rPr>
          <w:rFonts w:cs="Times New Roman" w:asciiTheme="minorEastAsia" w:hAnsiTheme="minorEastAsia" w:eastAsiaTheme="minorEastAsia"/>
          <w:sz w:val="24"/>
        </w:rPr>
        <w:t>越钢集团</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双友公司共</w:t>
      </w:r>
      <w:r>
        <w:rPr>
          <w:rFonts w:hint="eastAsia" w:cs="Times New Roman" w:asciiTheme="minorEastAsia" w:hAnsiTheme="minorEastAsia" w:eastAsiaTheme="minorEastAsia"/>
          <w:sz w:val="24"/>
        </w:rPr>
        <w:t>10</w:t>
      </w:r>
      <w:r>
        <w:rPr>
          <w:rFonts w:cs="Times New Roman" w:asciiTheme="minorEastAsia" w:hAnsiTheme="minorEastAsia" w:eastAsiaTheme="minorEastAsia"/>
          <w:sz w:val="24"/>
        </w:rPr>
        <w:t>,</w:t>
      </w:r>
      <w:r>
        <w:rPr>
          <w:rFonts w:hint="eastAsia" w:cs="Times New Roman" w:asciiTheme="minorEastAsia" w:hAnsiTheme="minorEastAsia" w:eastAsiaTheme="minorEastAsia"/>
          <w:sz w:val="24"/>
        </w:rPr>
        <w:t>000</w:t>
      </w:r>
      <w:r>
        <w:rPr>
          <w:rFonts w:cs="Times New Roman" w:asciiTheme="minorEastAsia" w:hAnsiTheme="minorEastAsia" w:eastAsiaTheme="minorEastAsia"/>
          <w:sz w:val="24"/>
        </w:rPr>
        <w:t>.00</w:t>
      </w:r>
      <w:r>
        <w:rPr>
          <w:rFonts w:hint="eastAsia" w:cs="Times New Roman" w:asciiTheme="minorEastAsia" w:hAnsiTheme="minorEastAsia" w:eastAsiaTheme="minorEastAsia"/>
          <w:sz w:val="24"/>
        </w:rPr>
        <w:t>万，用于支持</w:t>
      </w:r>
      <w:r>
        <w:rPr>
          <w:rFonts w:cs="Times New Roman" w:asciiTheme="minorEastAsia" w:hAnsiTheme="minorEastAsia" w:eastAsiaTheme="minorEastAsia"/>
          <w:sz w:val="24"/>
        </w:rPr>
        <w:t>越钢集团</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双友等骨干企业复产工作</w:t>
      </w:r>
      <w:r>
        <w:rPr>
          <w:rFonts w:hint="eastAsia" w:cs="Times New Roman" w:asciiTheme="minorEastAsia" w:hAnsiTheme="minorEastAsia" w:eastAsiaTheme="minorEastAsia"/>
          <w:sz w:val="24"/>
        </w:rPr>
        <w:t>；“</w:t>
      </w:r>
      <w:r>
        <w:rPr>
          <w:rFonts w:hint="eastAsia" w:ascii="宋体" w:hAnsi="宋体" w:eastAsia="宋体"/>
          <w:sz w:val="24"/>
        </w:rPr>
        <w:t>曲靖市投融资担保有限公司将项目资金借款给</w:t>
      </w:r>
      <w:r>
        <w:rPr>
          <w:rFonts w:cs="Times New Roman" w:asciiTheme="minorEastAsia" w:hAnsiTheme="minorEastAsia" w:eastAsiaTheme="minorEastAsia"/>
          <w:sz w:val="24"/>
        </w:rPr>
        <w:t>马龙县开发投资公司</w:t>
      </w:r>
      <w:r>
        <w:rPr>
          <w:rFonts w:hint="eastAsia" w:cs="Times New Roman" w:asciiTheme="minorEastAsia" w:hAnsiTheme="minorEastAsia" w:eastAsiaTheme="minorEastAsia"/>
          <w:sz w:val="24"/>
        </w:rPr>
        <w:t>5</w:t>
      </w:r>
      <w:r>
        <w:rPr>
          <w:rFonts w:cs="Times New Roman" w:asciiTheme="minorEastAsia" w:hAnsiTheme="minorEastAsia" w:eastAsiaTheme="minorEastAsia"/>
          <w:sz w:val="24"/>
        </w:rPr>
        <w:t>,</w:t>
      </w:r>
      <w:r>
        <w:rPr>
          <w:rFonts w:hint="eastAsia" w:cs="Times New Roman" w:asciiTheme="minorEastAsia" w:hAnsiTheme="minorEastAsia" w:eastAsiaTheme="minorEastAsia"/>
          <w:sz w:val="24"/>
        </w:rPr>
        <w:t>000</w:t>
      </w:r>
      <w:r>
        <w:rPr>
          <w:rFonts w:cs="Times New Roman" w:asciiTheme="minorEastAsia" w:hAnsiTheme="minorEastAsia" w:eastAsiaTheme="minorEastAsia"/>
          <w:sz w:val="24"/>
        </w:rPr>
        <w:t>.00</w:t>
      </w:r>
      <w:r>
        <w:rPr>
          <w:rFonts w:hint="eastAsia" w:cs="Times New Roman" w:asciiTheme="minorEastAsia" w:hAnsiTheme="minorEastAsia" w:eastAsiaTheme="minorEastAsia"/>
          <w:sz w:val="24"/>
        </w:rPr>
        <w:t>万元，</w:t>
      </w:r>
      <w:r>
        <w:rPr>
          <w:rFonts w:cs="Times New Roman" w:asciiTheme="minorEastAsia" w:hAnsiTheme="minorEastAsia" w:eastAsiaTheme="minorEastAsia"/>
          <w:sz w:val="24"/>
        </w:rPr>
        <w:t>马龙县开发投资公司收到资金后</w:t>
      </w:r>
      <w:r>
        <w:rPr>
          <w:rFonts w:hint="eastAsia" w:cs="Times New Roman" w:asciiTheme="minorEastAsia" w:hAnsiTheme="minorEastAsia" w:eastAsiaTheme="minorEastAsia"/>
          <w:sz w:val="24"/>
        </w:rPr>
        <w:t>拨付曲靖市众一精细化工股份有限公司500</w:t>
      </w:r>
      <w:r>
        <w:rPr>
          <w:rFonts w:cs="Times New Roman" w:asciiTheme="minorEastAsia" w:hAnsiTheme="minorEastAsia" w:eastAsiaTheme="minorEastAsia"/>
          <w:sz w:val="24"/>
        </w:rPr>
        <w:t>.00</w:t>
      </w:r>
      <w:r>
        <w:rPr>
          <w:rFonts w:hint="eastAsia" w:cs="Times New Roman" w:asciiTheme="minorEastAsia" w:hAnsiTheme="minorEastAsia" w:eastAsiaTheme="minorEastAsia"/>
          <w:sz w:val="24"/>
        </w:rPr>
        <w:t>万元，用于支持云南云翔玻璃有限公司生产线复产。2017年度项目资金实际支出10</w:t>
      </w:r>
      <w:r>
        <w:rPr>
          <w:rFonts w:cs="Times New Roman" w:asciiTheme="minorEastAsia" w:hAnsiTheme="minorEastAsia" w:eastAsiaTheme="minorEastAsia"/>
          <w:sz w:val="24"/>
        </w:rPr>
        <w:t>,</w:t>
      </w:r>
      <w:r>
        <w:rPr>
          <w:rFonts w:hint="eastAsia" w:cs="Times New Roman" w:asciiTheme="minorEastAsia" w:hAnsiTheme="minorEastAsia" w:eastAsiaTheme="minorEastAsia"/>
          <w:sz w:val="24"/>
        </w:rPr>
        <w:t>500</w:t>
      </w:r>
      <w:r>
        <w:rPr>
          <w:rFonts w:cs="Times New Roman" w:asciiTheme="minorEastAsia" w:hAnsiTheme="minorEastAsia" w:eastAsiaTheme="minorEastAsia"/>
          <w:sz w:val="24"/>
        </w:rPr>
        <w:t>.00</w:t>
      </w:r>
      <w:r>
        <w:rPr>
          <w:rFonts w:hint="eastAsia" w:cs="Times New Roman" w:asciiTheme="minorEastAsia" w:hAnsiTheme="minorEastAsia" w:eastAsiaTheme="minorEastAsia"/>
          <w:sz w:val="24"/>
        </w:rPr>
        <w:t>万元，资金支出率70.08%，结余4</w:t>
      </w:r>
      <w:r>
        <w:rPr>
          <w:rFonts w:cs="Times New Roman" w:asciiTheme="minorEastAsia" w:hAnsiTheme="minorEastAsia" w:eastAsiaTheme="minorEastAsia"/>
          <w:sz w:val="24"/>
        </w:rPr>
        <w:t>,</w:t>
      </w:r>
      <w:r>
        <w:rPr>
          <w:rFonts w:hint="eastAsia" w:cs="Times New Roman" w:asciiTheme="minorEastAsia" w:hAnsiTheme="minorEastAsia" w:eastAsiaTheme="minorEastAsia"/>
          <w:sz w:val="24"/>
        </w:rPr>
        <w:t>483.55万元，结余资金均在</w:t>
      </w:r>
      <w:r>
        <w:rPr>
          <w:rFonts w:hint="eastAsia" w:ascii="宋体" w:hAnsi="宋体" w:eastAsia="宋体"/>
          <w:sz w:val="24"/>
        </w:rPr>
        <w:t>曲靖市投融资担保有限公司账户</w:t>
      </w:r>
      <w:r>
        <w:rPr>
          <w:rFonts w:hint="eastAsia" w:cs="Times New Roman" w:asciiTheme="minorEastAsia" w:hAnsiTheme="minorEastAsia" w:eastAsiaTheme="minorEastAsia"/>
          <w:sz w:val="24"/>
        </w:rPr>
        <w:t xml:space="preserve">   </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3.项目资金管理情况分析</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 xml:space="preserve">曲靖市工信委按照国家相关法规的规定，制定了《关于印发曲靖市工业发展基金管理办法的通知》 ，项目严格按照以上规章制度对资金进行管理和使用，严格按照财经纪律规范和使用财政资金，做到资金的使用均有完整的审批程序。按照《曲靖市中小企业（工业发展）基金管理暂行办法》的规定执行各项工作。 </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4.财务核算规范性分析</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 xml:space="preserve">项目的实施由曲靖市投融资担保有限公司承担，曲靖市投融资担保有限公司制定了相应的财务管理制度，有相关资金的审批制度与审批流程，做到资金的使用均有完整的审批程序。  </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（二）项目实施情况分析</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 xml:space="preserve">1.项目组织管理情况分析 </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本项目主要由曲靖市投融资担保有限公司承担及组织管理实施程序如下：</w:t>
      </w:r>
    </w:p>
    <w:p>
      <w:pPr>
        <w:spacing w:before="100" w:beforeAutospacing="1" w:after="100" w:afterAutospacing="1" w:line="500" w:lineRule="exact"/>
        <w:ind w:firstLine="434" w:firstLineChars="200"/>
        <w:rPr>
          <w:rFonts w:ascii="宋体" w:hAnsi="宋体" w:eastAsia="宋体"/>
          <w:sz w:val="24"/>
        </w:rPr>
      </w:pPr>
      <w:r>
        <w:rPr>
          <w:rFonts w:ascii="宋体" w:hAnsi="宋体" w:eastAsia="宋体"/>
          <w:sz w:val="24"/>
        </w:rPr>
        <w:t>申报单位向当地工信及财政部门提交</w:t>
      </w:r>
      <w:r>
        <w:rPr>
          <w:rFonts w:hint="eastAsia" w:ascii="宋体" w:hAnsi="宋体" w:eastAsia="宋体"/>
          <w:sz w:val="24"/>
        </w:rPr>
        <w:t>（</w:t>
      </w:r>
      <w:r>
        <w:rPr>
          <w:rFonts w:ascii="宋体" w:hAnsi="宋体" w:eastAsia="宋体"/>
          <w:sz w:val="24"/>
        </w:rPr>
        <w:t>工业发展</w:t>
      </w:r>
      <w:r>
        <w:rPr>
          <w:rFonts w:hint="eastAsia" w:ascii="宋体" w:hAnsi="宋体" w:eastAsia="宋体"/>
          <w:sz w:val="24"/>
        </w:rPr>
        <w:t>）</w:t>
      </w:r>
      <w:r>
        <w:rPr>
          <w:rFonts w:ascii="宋体" w:hAnsi="宋体" w:eastAsia="宋体"/>
          <w:sz w:val="24"/>
        </w:rPr>
        <w:t>基金申请表</w:t>
      </w:r>
      <w:r>
        <w:rPr>
          <w:rFonts w:hint="eastAsia" w:ascii="宋体" w:hAnsi="宋体" w:eastAsia="宋体"/>
          <w:sz w:val="24"/>
        </w:rPr>
        <w:t>→当地工信及财政审核同意后→再向市工信委及市财政局审核，经审核通过后→市财政局向市政府申请，市政府审核通过后→市财政局将资金拨入到曲靖市投融资担保有限公司→项目的实施由曲靖市投融资担保有限公司承担。</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（1）</w:t>
      </w:r>
      <w:r>
        <w:rPr>
          <w:rFonts w:cs="Times New Roman" w:asciiTheme="minorEastAsia" w:hAnsiTheme="minorEastAsia" w:eastAsiaTheme="minorEastAsia"/>
          <w:sz w:val="24"/>
        </w:rPr>
        <w:t>曲靖市麒麟区工业园区开发投资有限责任公司</w:t>
      </w:r>
      <w:r>
        <w:rPr>
          <w:rFonts w:hint="eastAsia" w:ascii="宋体" w:hAnsi="宋体" w:eastAsia="宋体"/>
          <w:sz w:val="24"/>
        </w:rPr>
        <w:t xml:space="preserve">资金请示及借款合同： </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①1亿资金请示：2017年6月6日，</w:t>
      </w:r>
      <w:r>
        <w:rPr>
          <w:rFonts w:cs="Times New Roman" w:asciiTheme="minorEastAsia" w:hAnsiTheme="minorEastAsia" w:eastAsiaTheme="minorEastAsia"/>
          <w:sz w:val="24"/>
        </w:rPr>
        <w:t>曲靖市麒麟区工业园区开发投资有限责任公司向曲靖市麒麟区人民政府申请</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麒麟区工业发展基金借款</w:t>
      </w:r>
      <w:r>
        <w:rPr>
          <w:rFonts w:hint="eastAsia" w:cs="Times New Roman" w:asciiTheme="minorEastAsia" w:hAnsiTheme="minorEastAsia" w:eastAsiaTheme="minorEastAsia"/>
          <w:sz w:val="24"/>
        </w:rPr>
        <w:t>1亿，借款期限3年，到期一次性偿还全部借款本金。</w:t>
      </w:r>
      <w:r>
        <w:rPr>
          <w:rFonts w:cs="Times New Roman" w:asciiTheme="minorEastAsia" w:hAnsiTheme="minorEastAsia" w:eastAsiaTheme="minorEastAsia"/>
          <w:sz w:val="24"/>
        </w:rPr>
        <w:t>曲靖市麒麟区工业园区开发投资有限责任公司支持的越钢集团</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双友等骨干企业处于复产阶段</w:t>
      </w:r>
      <w:r>
        <w:rPr>
          <w:rFonts w:hint="eastAsia" w:cs="Times New Roman" w:asciiTheme="minorEastAsia" w:hAnsiTheme="minorEastAsia" w:eastAsiaTheme="minorEastAsia"/>
          <w:sz w:val="24"/>
        </w:rPr>
        <w:t>， 请求政府减免该笔借款的资金占用费。借款本金到期后如</w:t>
      </w:r>
      <w:r>
        <w:rPr>
          <w:rFonts w:cs="Times New Roman" w:asciiTheme="minorEastAsia" w:hAnsiTheme="minorEastAsia" w:eastAsiaTheme="minorEastAsia"/>
          <w:sz w:val="24"/>
        </w:rPr>
        <w:t>曲靖市麒麟区工业园区开发投资有限责任公司不能按期还款</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同意由曲靖市麒麟区财政局先行偿还</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如曲靖市麒麟区财政局未履行代偿义务</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同意由曲靖市财政局对麒麟区财政局扣款归还曲靖市</w:t>
      </w:r>
      <w:r>
        <w:rPr>
          <w:rFonts w:hint="eastAsia" w:ascii="宋体" w:hAnsi="宋体" w:eastAsia="宋体"/>
          <w:sz w:val="24"/>
        </w:rPr>
        <w:t>投融资担保有限公司。</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②1亿资金借款合同：2017年6月23日，</w:t>
      </w:r>
      <w:r>
        <w:rPr>
          <w:rFonts w:cs="Times New Roman" w:asciiTheme="minorEastAsia" w:hAnsiTheme="minorEastAsia" w:eastAsiaTheme="minorEastAsia"/>
          <w:sz w:val="24"/>
        </w:rPr>
        <w:t>曲靖市麒麟区工业园区开发投资有限责任公司</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借款人</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曲靖市</w:t>
      </w:r>
      <w:r>
        <w:rPr>
          <w:rFonts w:hint="eastAsia" w:ascii="宋体" w:hAnsi="宋体" w:eastAsia="宋体"/>
          <w:sz w:val="24"/>
        </w:rPr>
        <w:t>投融资担保有限公司（出借人）、曲靖市麒麟区工业和信息化局（借款主管部门）、曲靖市麒麟区财政局（承诺人）共同签订借款合同，借款金额1亿，借款期限36个月，自2017年6月23日至2020年6月22日。</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（2）</w:t>
      </w:r>
      <w:r>
        <w:rPr>
          <w:rFonts w:hint="eastAsia" w:cs="Times New Roman" w:asciiTheme="minorEastAsia" w:hAnsiTheme="minorEastAsia" w:eastAsiaTheme="minorEastAsia"/>
          <w:sz w:val="24"/>
        </w:rPr>
        <w:t>马龙县</w:t>
      </w:r>
      <w:r>
        <w:rPr>
          <w:rFonts w:cs="Times New Roman" w:asciiTheme="minorEastAsia" w:hAnsiTheme="minorEastAsia" w:eastAsiaTheme="minorEastAsia"/>
          <w:sz w:val="24"/>
        </w:rPr>
        <w:t>开发投资公司</w:t>
      </w:r>
      <w:r>
        <w:rPr>
          <w:rFonts w:hint="eastAsia" w:ascii="宋体" w:hAnsi="宋体" w:eastAsia="宋体"/>
          <w:sz w:val="24"/>
        </w:rPr>
        <w:t>资金请示及借款合同：</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①500万元资金请示：2017年4月10日，</w:t>
      </w:r>
      <w:r>
        <w:rPr>
          <w:rFonts w:hint="eastAsia" w:cs="Times New Roman" w:asciiTheme="minorEastAsia" w:hAnsiTheme="minorEastAsia" w:eastAsiaTheme="minorEastAsia"/>
          <w:sz w:val="24"/>
        </w:rPr>
        <w:t>马龙县</w:t>
      </w:r>
      <w:r>
        <w:rPr>
          <w:rFonts w:cs="Times New Roman" w:asciiTheme="minorEastAsia" w:hAnsiTheme="minorEastAsia" w:eastAsiaTheme="minorEastAsia"/>
          <w:sz w:val="24"/>
        </w:rPr>
        <w:t>开发投资公司向</w:t>
      </w:r>
      <w:r>
        <w:rPr>
          <w:rFonts w:hint="eastAsia" w:cs="Times New Roman" w:asciiTheme="minorEastAsia" w:hAnsiTheme="minorEastAsia" w:eastAsiaTheme="minorEastAsia"/>
          <w:sz w:val="24"/>
        </w:rPr>
        <w:t>马龙</w:t>
      </w:r>
      <w:r>
        <w:rPr>
          <w:rFonts w:cs="Times New Roman" w:asciiTheme="minorEastAsia" w:hAnsiTheme="minorEastAsia" w:eastAsiaTheme="minorEastAsia"/>
          <w:sz w:val="24"/>
        </w:rPr>
        <w:t>县人民政府申请</w:t>
      </w:r>
      <w:r>
        <w:rPr>
          <w:rFonts w:hint="eastAsia" w:cs="Times New Roman" w:asciiTheme="minorEastAsia" w:hAnsiTheme="minorEastAsia" w:eastAsiaTheme="minorEastAsia"/>
          <w:sz w:val="24"/>
        </w:rPr>
        <w:t>，借款500万元用于支持云南云翔玻璃有限公司生产线复产。</w:t>
      </w:r>
    </w:p>
    <w:p>
      <w:pPr>
        <w:spacing w:before="100" w:beforeAutospacing="1" w:after="100" w:afterAutospacing="1" w:line="500" w:lineRule="exact"/>
        <w:ind w:firstLine="434" w:firstLineChars="200"/>
        <w:rPr>
          <w:rFonts w:ascii="宋体" w:hAnsi="宋体" w:eastAsia="宋体"/>
          <w:sz w:val="24"/>
        </w:rPr>
      </w:pPr>
      <w:r>
        <w:rPr>
          <w:rFonts w:hint="eastAsia" w:ascii="宋体" w:hAnsi="宋体" w:eastAsia="宋体"/>
          <w:sz w:val="24"/>
        </w:rPr>
        <w:t>②500万元资金借款合同：2017年8月9日，</w:t>
      </w:r>
      <w:r>
        <w:rPr>
          <w:rFonts w:hint="eastAsia" w:cs="Times New Roman" w:asciiTheme="minorEastAsia" w:hAnsiTheme="minorEastAsia" w:eastAsiaTheme="minorEastAsia"/>
          <w:sz w:val="24"/>
        </w:rPr>
        <w:t>马龙县</w:t>
      </w:r>
      <w:r>
        <w:rPr>
          <w:rFonts w:cs="Times New Roman" w:asciiTheme="minorEastAsia" w:hAnsiTheme="minorEastAsia" w:eastAsiaTheme="minorEastAsia"/>
          <w:sz w:val="24"/>
        </w:rPr>
        <w:t>开发投资公司</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借款人</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曲靖市</w:t>
      </w:r>
      <w:r>
        <w:rPr>
          <w:rFonts w:hint="eastAsia" w:ascii="宋体" w:hAnsi="宋体" w:eastAsia="宋体"/>
          <w:sz w:val="24"/>
        </w:rPr>
        <w:t>投融资担保有限公司（出借人）、马龙县财政局（借款主管部门）共同签订借款合同，借款金额500万元（ 借款期限12个月，自2017年8月9日至2018年8月8日；借款利率按固定利率确认，年利率2.61%）</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（三）项目绩效情况分析</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1.项目实施对经济和社会效益性分析</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促进当地产业及项目投资，推动当地产业发展；增加政府财政收入，反哺当地实业经济；助推当地多层次资本市场构建，健全当地金融生态环境。直接和间接拉动当地就业机会，加快中小企业服务体系建设，改善中小企业经营环境，促进中小企业健康发展。</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 xml:space="preserve"> 2.项目的效率性分析</w:t>
      </w:r>
    </w:p>
    <w:p>
      <w:pPr>
        <w:spacing w:before="100" w:beforeAutospacing="1" w:after="100" w:afterAutospacing="1" w:line="360" w:lineRule="exact"/>
        <w:ind w:firstLine="434" w:firstLineChars="200"/>
        <w:rPr>
          <w:rFonts w:ascii="黑体" w:hAnsi="黑体" w:eastAsia="黑体" w:cs="黑体"/>
          <w:bCs/>
          <w:sz w:val="24"/>
        </w:rPr>
      </w:pPr>
      <w:r>
        <w:rPr>
          <w:rFonts w:hint="eastAsia" w:ascii="黑体" w:hAnsi="黑体" w:eastAsia="黑体" w:cs="黑体"/>
          <w:bCs/>
          <w:sz w:val="24"/>
        </w:rPr>
        <w:t xml:space="preserve">（1）项目的实施进度 </w:t>
      </w:r>
    </w:p>
    <w:p>
      <w:pPr>
        <w:spacing w:before="100" w:beforeAutospacing="1" w:after="100" w:afterAutospacing="1" w:line="500" w:lineRule="exact"/>
        <w:ind w:firstLine="434" w:firstLineChars="200"/>
        <w:rPr>
          <w:rFonts w:cs="Times New Roman" w:asciiTheme="minorEastAsia" w:hAnsiTheme="minorEastAsia" w:eastAsiaTheme="minorEastAsia"/>
          <w:sz w:val="24"/>
        </w:rPr>
      </w:pPr>
      <w:r>
        <w:rPr>
          <w:rFonts w:hint="eastAsia" w:cs="Times New Roman" w:asciiTheme="minorEastAsia" w:hAnsiTheme="minorEastAsia" w:eastAsiaTheme="minorEastAsia"/>
          <w:sz w:val="24"/>
        </w:rPr>
        <w:t>①</w:t>
      </w:r>
      <w:r>
        <w:rPr>
          <w:rFonts w:cs="Times New Roman" w:asciiTheme="minorEastAsia" w:hAnsiTheme="minorEastAsia" w:eastAsiaTheme="minorEastAsia"/>
          <w:sz w:val="24"/>
        </w:rPr>
        <w:t>“曲靖市麒麟区工业园区开发投资有限责任公司</w:t>
      </w:r>
      <w:r>
        <w:rPr>
          <w:rFonts w:hint="eastAsia" w:cs="Times New Roman" w:asciiTheme="minorEastAsia" w:hAnsiTheme="minorEastAsia" w:eastAsiaTheme="minorEastAsia"/>
          <w:sz w:val="24"/>
        </w:rPr>
        <w:t>”借款10</w:t>
      </w:r>
      <w:r>
        <w:rPr>
          <w:rFonts w:cs="Times New Roman" w:asciiTheme="minorEastAsia" w:hAnsiTheme="minorEastAsia" w:eastAsiaTheme="minorEastAsia"/>
          <w:sz w:val="24"/>
        </w:rPr>
        <w:t>,</w:t>
      </w:r>
      <w:r>
        <w:rPr>
          <w:rFonts w:hint="eastAsia" w:cs="Times New Roman" w:asciiTheme="minorEastAsia" w:hAnsiTheme="minorEastAsia" w:eastAsiaTheme="minorEastAsia"/>
          <w:sz w:val="24"/>
        </w:rPr>
        <w:t>000</w:t>
      </w:r>
      <w:r>
        <w:rPr>
          <w:rFonts w:cs="Times New Roman" w:asciiTheme="minorEastAsia" w:hAnsiTheme="minorEastAsia" w:eastAsiaTheme="minorEastAsia"/>
          <w:sz w:val="24"/>
        </w:rPr>
        <w:t>.00</w:t>
      </w:r>
      <w:r>
        <w:rPr>
          <w:rFonts w:hint="eastAsia" w:cs="Times New Roman" w:asciiTheme="minorEastAsia" w:hAnsiTheme="minorEastAsia" w:eastAsiaTheme="minorEastAsia"/>
          <w:sz w:val="24"/>
        </w:rPr>
        <w:t>万元， 用于支持</w:t>
      </w:r>
      <w:r>
        <w:rPr>
          <w:rFonts w:cs="Times New Roman" w:asciiTheme="minorEastAsia" w:hAnsiTheme="minorEastAsia" w:eastAsiaTheme="minorEastAsia"/>
          <w:sz w:val="24"/>
        </w:rPr>
        <w:t>越钢集团</w:t>
      </w:r>
      <w:r>
        <w:rPr>
          <w:rFonts w:hint="eastAsia" w:cs="Times New Roman" w:asciiTheme="minorEastAsia" w:hAnsiTheme="minorEastAsia" w:eastAsiaTheme="minorEastAsia"/>
          <w:sz w:val="24"/>
        </w:rPr>
        <w:t>、</w:t>
      </w:r>
      <w:r>
        <w:rPr>
          <w:rFonts w:cs="Times New Roman" w:asciiTheme="minorEastAsia" w:hAnsiTheme="minorEastAsia" w:eastAsiaTheme="minorEastAsia"/>
          <w:sz w:val="24"/>
        </w:rPr>
        <w:t>双友公司的复产工作</w:t>
      </w:r>
      <w:r>
        <w:rPr>
          <w:rFonts w:hint="eastAsia" w:cs="Times New Roman" w:asciiTheme="minorEastAsia" w:hAnsiTheme="minorEastAsia" w:eastAsiaTheme="minorEastAsia"/>
          <w:sz w:val="24"/>
        </w:rPr>
        <w:t>，经延伸核实项目资金对企业带来的效益：越钢预计生产钢坯、带钢约</w:t>
      </w:r>
      <w:r>
        <w:rPr>
          <w:rFonts w:cs="Times New Roman" w:asciiTheme="minorEastAsia" w:hAnsiTheme="minorEastAsia" w:eastAsiaTheme="minorEastAsia"/>
          <w:sz w:val="24"/>
        </w:rPr>
        <w:t>80</w:t>
      </w:r>
      <w:r>
        <w:rPr>
          <w:rFonts w:hint="eastAsia" w:cs="Times New Roman" w:asciiTheme="minorEastAsia" w:hAnsiTheme="minorEastAsia" w:eastAsiaTheme="minorEastAsia"/>
          <w:sz w:val="24"/>
        </w:rPr>
        <w:t>万吨，实现产值约</w:t>
      </w:r>
      <w:r>
        <w:rPr>
          <w:rFonts w:cs="Times New Roman" w:asciiTheme="minorEastAsia" w:hAnsiTheme="minorEastAsia" w:eastAsiaTheme="minorEastAsia"/>
          <w:sz w:val="24"/>
        </w:rPr>
        <w:t>27</w:t>
      </w:r>
      <w:r>
        <w:rPr>
          <w:rFonts w:hint="eastAsia" w:cs="Times New Roman" w:asciiTheme="minorEastAsia" w:hAnsiTheme="minorEastAsia" w:eastAsiaTheme="minorEastAsia"/>
          <w:sz w:val="24"/>
        </w:rPr>
        <w:t>亿元，实现纳税约</w:t>
      </w:r>
      <w:r>
        <w:rPr>
          <w:rFonts w:cs="Times New Roman" w:asciiTheme="minorEastAsia" w:hAnsiTheme="minorEastAsia" w:eastAsiaTheme="minorEastAsia"/>
          <w:sz w:val="24"/>
        </w:rPr>
        <w:t>2,000.00</w:t>
      </w:r>
      <w:r>
        <w:rPr>
          <w:rFonts w:hint="eastAsia" w:cs="Times New Roman" w:asciiTheme="minorEastAsia" w:hAnsiTheme="minorEastAsia" w:eastAsiaTheme="minorEastAsia"/>
          <w:sz w:val="24"/>
        </w:rPr>
        <w:t>万元；双友预计生产棒线、材约</w:t>
      </w:r>
      <w:r>
        <w:rPr>
          <w:rFonts w:cs="Times New Roman" w:asciiTheme="minorEastAsia" w:hAnsiTheme="minorEastAsia" w:eastAsiaTheme="minorEastAsia"/>
          <w:sz w:val="24"/>
        </w:rPr>
        <w:t>120</w:t>
      </w:r>
      <w:r>
        <w:rPr>
          <w:rFonts w:hint="eastAsia" w:cs="Times New Roman" w:asciiTheme="minorEastAsia" w:hAnsiTheme="minorEastAsia" w:eastAsiaTheme="minorEastAsia"/>
          <w:sz w:val="24"/>
        </w:rPr>
        <w:t>万吨，实现产值约</w:t>
      </w:r>
      <w:r>
        <w:rPr>
          <w:rFonts w:cs="Times New Roman" w:asciiTheme="minorEastAsia" w:hAnsiTheme="minorEastAsia" w:eastAsiaTheme="minorEastAsia"/>
          <w:sz w:val="24"/>
        </w:rPr>
        <w:t>35</w:t>
      </w:r>
      <w:r>
        <w:rPr>
          <w:rFonts w:hint="eastAsia" w:cs="Times New Roman" w:asciiTheme="minorEastAsia" w:hAnsiTheme="minorEastAsia" w:eastAsiaTheme="minorEastAsia"/>
          <w:sz w:val="24"/>
        </w:rPr>
        <w:t>亿元，实现纳税约</w:t>
      </w:r>
      <w:r>
        <w:rPr>
          <w:rFonts w:cs="Times New Roman" w:asciiTheme="minorEastAsia" w:hAnsiTheme="minorEastAsia" w:eastAsiaTheme="minorEastAsia"/>
          <w:sz w:val="24"/>
        </w:rPr>
        <w:t>5,000.00</w:t>
      </w:r>
      <w:r>
        <w:rPr>
          <w:rFonts w:hint="eastAsia" w:cs="Times New Roman" w:asciiTheme="minorEastAsia" w:hAnsiTheme="minorEastAsia" w:eastAsiaTheme="minorEastAsia"/>
          <w:sz w:val="24"/>
        </w:rPr>
        <w:t>万元，目前进入良性运作。</w:t>
      </w:r>
    </w:p>
    <w:p>
      <w:pPr>
        <w:spacing w:before="100" w:beforeAutospacing="1" w:after="100" w:afterAutospacing="1" w:line="500" w:lineRule="exact"/>
        <w:ind w:firstLine="434" w:firstLineChars="200"/>
        <w:rPr>
          <w:rFonts w:ascii="黑体" w:hAnsi="黑体" w:eastAsia="黑体" w:cs="黑体"/>
          <w:bCs/>
          <w:sz w:val="24"/>
        </w:rPr>
      </w:pPr>
      <w:r>
        <w:rPr>
          <w:rFonts w:hint="eastAsia" w:cs="Times New Roman" w:asciiTheme="minorEastAsia" w:hAnsiTheme="minorEastAsia" w:eastAsiaTheme="minorEastAsia"/>
          <w:sz w:val="24"/>
        </w:rPr>
        <w:t>②“</w:t>
      </w:r>
      <w:r>
        <w:rPr>
          <w:rFonts w:cs="Times New Roman" w:asciiTheme="minorEastAsia" w:hAnsiTheme="minorEastAsia" w:eastAsiaTheme="minorEastAsia"/>
          <w:sz w:val="24"/>
        </w:rPr>
        <w:t>马龙县开发投资公司</w:t>
      </w:r>
      <w:r>
        <w:rPr>
          <w:rFonts w:hint="eastAsia" w:cs="Times New Roman" w:asciiTheme="minorEastAsia" w:hAnsiTheme="minorEastAsia" w:eastAsiaTheme="minorEastAsia"/>
          <w:sz w:val="24"/>
        </w:rPr>
        <w:t>”借款500</w:t>
      </w:r>
      <w:r>
        <w:rPr>
          <w:rFonts w:cs="Times New Roman" w:asciiTheme="minorEastAsia" w:hAnsiTheme="minorEastAsia" w:eastAsiaTheme="minorEastAsia"/>
          <w:sz w:val="24"/>
        </w:rPr>
        <w:t>.00</w:t>
      </w:r>
      <w:r>
        <w:rPr>
          <w:rFonts w:hint="eastAsia" w:cs="Times New Roman" w:asciiTheme="minorEastAsia" w:hAnsiTheme="minorEastAsia" w:eastAsiaTheme="minorEastAsia"/>
          <w:sz w:val="24"/>
        </w:rPr>
        <w:t>万元，用于支持云南云翔玻璃有限公司生产线复产，经延伸核实项目资金对企业带来的效益：1#生产线投产380万重箱玻璃，产值3.2亿；2017年6月-12月2#生产线投产玻璃产量达280万重箱，产值2.5亿。</w:t>
      </w:r>
    </w:p>
    <w:p>
      <w:pPr>
        <w:spacing w:before="100" w:beforeAutospacing="1" w:after="100" w:afterAutospacing="1" w:line="360" w:lineRule="exact"/>
        <w:ind w:firstLine="434" w:firstLineChars="200"/>
        <w:rPr>
          <w:rFonts w:ascii="黑体" w:hAnsi="黑体" w:eastAsia="黑体" w:cs="黑体"/>
          <w:bCs/>
          <w:sz w:val="24"/>
        </w:rPr>
      </w:pPr>
      <w:r>
        <w:rPr>
          <w:rFonts w:hint="eastAsia" w:asciiTheme="minorEastAsia" w:hAnsiTheme="minorEastAsia" w:eastAsiaTheme="minorEastAsia"/>
          <w:sz w:val="24"/>
        </w:rPr>
        <w:t xml:space="preserve"> </w:t>
      </w:r>
      <w:r>
        <w:rPr>
          <w:rFonts w:hint="eastAsia" w:ascii="黑体" w:hAnsi="黑体" w:eastAsia="黑体" w:cs="黑体"/>
          <w:bCs/>
          <w:sz w:val="24"/>
        </w:rPr>
        <w:t>（2）项目完成质量</w:t>
      </w:r>
    </w:p>
    <w:p>
      <w:pPr>
        <w:ind w:firstLine="651" w:firstLineChars="300"/>
        <w:rPr>
          <w:rFonts w:ascii="宋体" w:hAnsi="宋体" w:eastAsia="宋体"/>
          <w:sz w:val="24"/>
        </w:rPr>
      </w:pPr>
      <w:r>
        <w:rPr>
          <w:rFonts w:ascii="宋体" w:hAnsi="宋体" w:eastAsia="宋体"/>
          <w:sz w:val="24"/>
        </w:rPr>
        <w:t>按照管理办法规定完成各项工作</w:t>
      </w:r>
      <w:r>
        <w:rPr>
          <w:rFonts w:hint="eastAsia" w:ascii="宋体" w:hAnsi="宋体" w:eastAsia="宋体"/>
          <w:sz w:val="24"/>
        </w:rPr>
        <w:t>。</w:t>
      </w:r>
    </w:p>
    <w:p>
      <w:pPr>
        <w:spacing w:before="100" w:beforeAutospacing="1" w:after="100" w:afterAutospacing="1" w:line="360" w:lineRule="exact"/>
        <w:ind w:firstLine="434" w:firstLineChars="200"/>
        <w:rPr>
          <w:rFonts w:ascii="黑体" w:hAnsi="黑体" w:eastAsia="黑体" w:cs="黑体"/>
          <w:b/>
          <w:bCs/>
          <w:sz w:val="24"/>
        </w:rPr>
      </w:pPr>
      <w:r>
        <w:rPr>
          <w:rFonts w:hint="eastAsia" w:ascii="黑体" w:hAnsi="黑体" w:eastAsia="黑体" w:cs="黑体"/>
          <w:b/>
          <w:bCs/>
          <w:sz w:val="24"/>
        </w:rPr>
        <w:t>五、综合评价情况及评价结论</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项目绩效评价综合得分为82分，评价等级为良，其中投入得分11分，扣8分；过程得分24分，扣3分；产出得分16分，扣4分；效果得分31分，扣3分。（详见附件曲靖市工信委四大重点产业发展基金评价指标体系及评分明细表</w:t>
      </w:r>
      <w:r>
        <w:rPr>
          <w:rFonts w:asciiTheme="minorEastAsia" w:hAnsiTheme="minorEastAsia" w:eastAsiaTheme="minorEastAsia"/>
          <w:sz w:val="24"/>
        </w:rPr>
        <w:t>）</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项目评分情况：曲靖市工信委未按照规定及时将项目绩效自评报告通过门户网站向社会公开，接受社会监督扣1分；曲靖市工信委未对本项目进行自评，未能提供绩效自评报告，扣1分；绩效目标不清晰、不可衡量扣2分；实际支出率</w:t>
      </w:r>
      <w:r>
        <w:rPr>
          <w:rFonts w:asciiTheme="minorEastAsia" w:hAnsiTheme="minorEastAsia" w:eastAsiaTheme="minorEastAsia"/>
          <w:sz w:val="24"/>
        </w:rPr>
        <w:t>70.08%支出率低扣</w:t>
      </w:r>
      <w:r>
        <w:rPr>
          <w:rFonts w:hint="eastAsia" w:asciiTheme="minorEastAsia" w:hAnsiTheme="minorEastAsia" w:eastAsiaTheme="minorEastAsia"/>
          <w:sz w:val="24"/>
        </w:rPr>
        <w:t>4分；未建立基金绩效评价操作细则扣1.5分；曲靖市工信委未对曲靖市投融资担保有限公司项目实施、资金使用等进行项目跟踪，项目监管存在一定的缺陷，扣1.5分；实际完成率、完成及时率、质量达标率、成本节约率分别扣1分；经济效益、社会效益、可持续性影响分别扣1分，原因：项目到</w:t>
      </w:r>
      <w:r>
        <w:rPr>
          <w:rFonts w:asciiTheme="minorEastAsia" w:hAnsiTheme="minorEastAsia" w:eastAsiaTheme="minorEastAsia"/>
          <w:sz w:val="24"/>
        </w:rPr>
        <w:t>2020</w:t>
      </w:r>
      <w:r>
        <w:rPr>
          <w:rFonts w:hint="eastAsia" w:asciiTheme="minorEastAsia" w:hAnsiTheme="minorEastAsia" w:eastAsiaTheme="minorEastAsia"/>
          <w:sz w:val="24"/>
        </w:rPr>
        <w:t>年才能有效实现，实际支出率</w:t>
      </w:r>
      <w:r>
        <w:rPr>
          <w:rFonts w:asciiTheme="minorEastAsia" w:hAnsiTheme="minorEastAsia" w:eastAsiaTheme="minorEastAsia"/>
          <w:sz w:val="24"/>
        </w:rPr>
        <w:t>70.08%</w:t>
      </w:r>
      <w:r>
        <w:rPr>
          <w:rFonts w:hint="eastAsia" w:asciiTheme="minorEastAsia" w:hAnsiTheme="minorEastAsia" w:eastAsiaTheme="minorEastAsia"/>
          <w:sz w:val="24"/>
        </w:rPr>
        <w:t>。</w:t>
      </w:r>
    </w:p>
    <w:p>
      <w:pPr>
        <w:spacing w:before="100" w:beforeAutospacing="1" w:after="100" w:afterAutospacing="1" w:line="500" w:lineRule="exact"/>
        <w:ind w:firstLine="651" w:firstLineChars="300"/>
        <w:rPr>
          <w:rFonts w:asciiTheme="minorEastAsia" w:hAnsiTheme="minorEastAsia" w:eastAsiaTheme="minorEastAsia"/>
          <w:sz w:val="24"/>
        </w:rPr>
      </w:pPr>
      <w:r>
        <w:rPr>
          <w:rFonts w:hint="eastAsia" w:asciiTheme="minorEastAsia" w:hAnsiTheme="minorEastAsia" w:eastAsiaTheme="minorEastAsia"/>
          <w:sz w:val="24"/>
        </w:rPr>
        <w:t>本次绩效评价共发放</w:t>
      </w:r>
      <w:r>
        <w:rPr>
          <w:rFonts w:asciiTheme="minorEastAsia" w:hAnsiTheme="minorEastAsia" w:eastAsiaTheme="minorEastAsia"/>
          <w:sz w:val="24"/>
        </w:rPr>
        <w:t>20</w:t>
      </w:r>
      <w:r>
        <w:rPr>
          <w:rFonts w:hint="eastAsia" w:asciiTheme="minorEastAsia" w:hAnsiTheme="minorEastAsia" w:eastAsiaTheme="minorEastAsia"/>
          <w:sz w:val="24"/>
        </w:rPr>
        <w:t>份匿名调查问卷，收回2</w:t>
      </w:r>
      <w:r>
        <w:rPr>
          <w:rFonts w:asciiTheme="minorEastAsia" w:hAnsiTheme="minorEastAsia" w:eastAsiaTheme="minorEastAsia"/>
          <w:sz w:val="24"/>
        </w:rPr>
        <w:t>0</w:t>
      </w:r>
      <w:r>
        <w:rPr>
          <w:rFonts w:hint="eastAsia" w:asciiTheme="minorEastAsia" w:hAnsiTheme="minorEastAsia" w:eastAsiaTheme="minorEastAsia"/>
          <w:sz w:val="24"/>
        </w:rPr>
        <w:t>份，回收率1</w:t>
      </w:r>
      <w:r>
        <w:rPr>
          <w:rFonts w:asciiTheme="minorEastAsia" w:hAnsiTheme="minorEastAsia" w:eastAsiaTheme="minorEastAsia"/>
          <w:sz w:val="24"/>
        </w:rPr>
        <w:t>00</w:t>
      </w:r>
      <w:r>
        <w:rPr>
          <w:rFonts w:hint="eastAsia" w:asciiTheme="minorEastAsia" w:hAnsiTheme="minorEastAsia" w:eastAsiaTheme="minorEastAsia"/>
          <w:sz w:val="24"/>
        </w:rPr>
        <w:t xml:space="preserve">%，根据调查问卷满意率为100%，项目实施后，促进当地产业及项目投资，推动当地产业发展；增加政府财政收入，反哺当地实业经济；助推当地多层次资本市场构建，健全当地金融生态环境。直接和间接拉动当地就业机会，加快中小企业服务体系建设，改善中小企业经营环境，促进中小企业健康发展。 </w:t>
      </w:r>
    </w:p>
    <w:p>
      <w:pPr>
        <w:spacing w:before="100" w:beforeAutospacing="1" w:after="100" w:afterAutospacing="1" w:line="500" w:lineRule="exact"/>
        <w:ind w:firstLine="434" w:firstLineChars="200"/>
        <w:rPr>
          <w:rFonts w:ascii="黑体" w:hAnsi="黑体" w:eastAsia="黑体" w:cs="黑体"/>
          <w:b/>
          <w:bCs/>
          <w:sz w:val="24"/>
        </w:rPr>
      </w:pPr>
      <w:r>
        <w:rPr>
          <w:rFonts w:hint="eastAsia" w:ascii="黑体" w:hAnsi="黑体" w:eastAsia="黑体" w:cs="黑体"/>
          <w:b/>
          <w:bCs/>
          <w:sz w:val="24"/>
        </w:rPr>
        <w:t>六、主要经验及做法</w:t>
      </w:r>
    </w:p>
    <w:p>
      <w:pPr>
        <w:spacing w:before="100" w:beforeAutospacing="1" w:after="100" w:afterAutospacing="1" w:line="500" w:lineRule="exact"/>
        <w:ind w:firstLine="434" w:firstLineChars="20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1.领导重视，积极安排项目开展工作；</w:t>
      </w:r>
    </w:p>
    <w:p>
      <w:pPr>
        <w:spacing w:before="100" w:beforeAutospacing="1" w:after="100" w:afterAutospacing="1" w:line="500" w:lineRule="exact"/>
        <w:ind w:firstLine="434" w:firstLineChars="200"/>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2.加大对</w:t>
      </w:r>
      <w:r>
        <w:rPr>
          <w:rFonts w:hint="eastAsia" w:asciiTheme="minorEastAsia" w:hAnsiTheme="minorEastAsia" w:eastAsiaTheme="minorEastAsia"/>
          <w:color w:val="000000" w:themeColor="text1"/>
          <w:sz w:val="24"/>
        </w:rPr>
        <w:t>曲靖市</w:t>
      </w:r>
      <w:r>
        <w:rPr>
          <w:rFonts w:hint="eastAsia" w:ascii="宋体" w:hAnsi="宋体" w:eastAsia="宋体"/>
          <w:sz w:val="24"/>
        </w:rPr>
        <w:t>四大重点产业发展基金</w:t>
      </w:r>
      <w:r>
        <w:rPr>
          <w:rFonts w:hint="eastAsia" w:asciiTheme="minorEastAsia" w:hAnsiTheme="minorEastAsia" w:eastAsiaTheme="minorEastAsia"/>
          <w:color w:val="000000" w:themeColor="text1"/>
          <w:sz w:val="24"/>
        </w:rPr>
        <w:t>项目资金</w:t>
      </w:r>
      <w:r>
        <w:rPr>
          <w:rFonts w:hint="eastAsia" w:cs="宋体" w:asciiTheme="minorEastAsia" w:hAnsiTheme="minorEastAsia" w:eastAsiaTheme="minorEastAsia"/>
          <w:bCs/>
          <w:color w:val="000000" w:themeColor="text1"/>
          <w:sz w:val="24"/>
        </w:rPr>
        <w:t>实施情况的调研，了解存在问题和难度。</w:t>
      </w:r>
    </w:p>
    <w:p>
      <w:pPr>
        <w:spacing w:before="100" w:beforeAutospacing="1" w:after="100" w:afterAutospacing="1" w:line="500" w:lineRule="exact"/>
        <w:ind w:firstLine="434" w:firstLineChars="200"/>
        <w:rPr>
          <w:rFonts w:ascii="黑体" w:hAnsi="黑体" w:eastAsia="黑体" w:cs="黑体"/>
          <w:b/>
          <w:bCs/>
          <w:color w:val="000000" w:themeColor="text1"/>
          <w:sz w:val="24"/>
        </w:rPr>
      </w:pPr>
      <w:r>
        <w:rPr>
          <w:rFonts w:hint="eastAsia" w:cs="宋体" w:asciiTheme="minorEastAsia" w:hAnsiTheme="minorEastAsia" w:eastAsiaTheme="minorEastAsia"/>
          <w:bCs/>
          <w:color w:val="000000" w:themeColor="text1"/>
          <w:sz w:val="24"/>
        </w:rPr>
        <w:t>3.联合财政局、审计局等相关部门加强</w:t>
      </w:r>
      <w:r>
        <w:rPr>
          <w:rFonts w:hint="eastAsia" w:asciiTheme="minorEastAsia" w:hAnsiTheme="minorEastAsia" w:eastAsiaTheme="minorEastAsia"/>
          <w:color w:val="000000" w:themeColor="text1"/>
          <w:sz w:val="24"/>
        </w:rPr>
        <w:t>曲靖市</w:t>
      </w:r>
      <w:r>
        <w:rPr>
          <w:rFonts w:hint="eastAsia" w:ascii="宋体" w:hAnsi="宋体" w:eastAsia="宋体"/>
          <w:sz w:val="24"/>
        </w:rPr>
        <w:t>四大重点产业发展基金项目</w:t>
      </w:r>
      <w:r>
        <w:rPr>
          <w:rFonts w:hint="eastAsia" w:cs="宋体" w:asciiTheme="minorEastAsia" w:hAnsiTheme="minorEastAsia" w:eastAsiaTheme="minorEastAsia"/>
          <w:bCs/>
          <w:color w:val="000000" w:themeColor="text1"/>
          <w:sz w:val="24"/>
        </w:rPr>
        <w:t>资金使用审核和监管，确保</w:t>
      </w:r>
      <w:r>
        <w:rPr>
          <w:rFonts w:hint="eastAsia" w:asciiTheme="minorEastAsia" w:hAnsiTheme="minorEastAsia" w:eastAsiaTheme="minorEastAsia"/>
          <w:color w:val="000000" w:themeColor="text1"/>
          <w:sz w:val="24"/>
        </w:rPr>
        <w:t>曲靖市</w:t>
      </w:r>
      <w:r>
        <w:rPr>
          <w:rFonts w:hint="eastAsia" w:ascii="宋体" w:hAnsi="宋体" w:eastAsia="宋体"/>
          <w:sz w:val="24"/>
        </w:rPr>
        <w:t>四大重点产业发展基金项目</w:t>
      </w:r>
      <w:r>
        <w:rPr>
          <w:rFonts w:hint="eastAsia" w:asciiTheme="minorEastAsia" w:hAnsiTheme="minorEastAsia" w:eastAsiaTheme="minorEastAsia"/>
          <w:color w:val="000000" w:themeColor="text1"/>
          <w:sz w:val="24"/>
        </w:rPr>
        <w:t>资金</w:t>
      </w:r>
      <w:r>
        <w:rPr>
          <w:rFonts w:hint="eastAsia" w:cs="宋体" w:asciiTheme="minorEastAsia" w:hAnsiTheme="minorEastAsia" w:eastAsiaTheme="minorEastAsia"/>
          <w:color w:val="000000" w:themeColor="text1"/>
          <w:kern w:val="10"/>
          <w:sz w:val="24"/>
        </w:rPr>
        <w:t>确实确实用于</w:t>
      </w:r>
      <w:r>
        <w:rPr>
          <w:rFonts w:hint="eastAsia" w:asciiTheme="minorEastAsia" w:hAnsiTheme="minorEastAsia" w:eastAsiaTheme="minorEastAsia"/>
          <w:color w:val="000000" w:themeColor="text1"/>
          <w:sz w:val="24"/>
        </w:rPr>
        <w:t>重点产业</w:t>
      </w:r>
      <w:r>
        <w:rPr>
          <w:rFonts w:hint="eastAsia" w:cs="宋体" w:asciiTheme="minorEastAsia" w:hAnsiTheme="minorEastAsia" w:eastAsiaTheme="minorEastAsia"/>
          <w:color w:val="000000" w:themeColor="text1"/>
          <w:sz w:val="24"/>
        </w:rPr>
        <w:t>工作</w:t>
      </w:r>
      <w:r>
        <w:rPr>
          <w:rFonts w:hint="eastAsia" w:cs="宋体" w:asciiTheme="minorEastAsia" w:hAnsiTheme="minorEastAsia" w:eastAsiaTheme="minorEastAsia"/>
          <w:color w:val="000000" w:themeColor="text1"/>
          <w:kern w:val="10"/>
          <w:sz w:val="24"/>
        </w:rPr>
        <w:t xml:space="preserve">，确保资金安全、有效运行，确保补助经费足额到位。 </w:t>
      </w:r>
    </w:p>
    <w:p>
      <w:pPr>
        <w:spacing w:before="100" w:beforeAutospacing="1" w:after="100" w:afterAutospacing="1" w:line="500" w:lineRule="exact"/>
        <w:ind w:firstLine="434" w:firstLineChars="200"/>
        <w:rPr>
          <w:rFonts w:ascii="黑体" w:hAnsi="黑体" w:eastAsia="黑体" w:cs="黑体"/>
          <w:b/>
          <w:bCs/>
          <w:sz w:val="24"/>
        </w:rPr>
      </w:pPr>
      <w:r>
        <w:rPr>
          <w:rFonts w:hint="eastAsia" w:ascii="黑体" w:hAnsi="黑体" w:eastAsia="黑体" w:cs="黑体"/>
          <w:b/>
          <w:bCs/>
          <w:sz w:val="24"/>
        </w:rPr>
        <w:t>七、存在问题和建议</w:t>
      </w:r>
      <w:bookmarkStart w:id="0" w:name="_GoBack"/>
      <w:bookmarkEnd w:id="0"/>
    </w:p>
    <w:p>
      <w:pPr>
        <w:numPr>
          <w:ilvl w:val="0"/>
          <w:numId w:val="1"/>
        </w:num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黑体" w:hAnsi="黑体" w:eastAsia="黑体" w:cs="黑体"/>
          <w:bCs/>
          <w:sz w:val="24"/>
        </w:rPr>
        <w:t>存在问题</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1.预算编制方面</w:t>
      </w:r>
    </w:p>
    <w:p>
      <w:pPr>
        <w:spacing w:before="100" w:beforeAutospacing="1" w:after="100" w:afterAutospacing="1" w:line="500" w:lineRule="exact"/>
        <w:ind w:firstLine="434" w:firstLineChars="200"/>
        <w:rPr>
          <w:rFonts w:asciiTheme="minorEastAsia" w:hAnsiTheme="minorEastAsia" w:eastAsiaTheme="minorEastAsia"/>
          <w:kern w:val="3"/>
          <w:sz w:val="24"/>
        </w:rPr>
      </w:pPr>
      <w:r>
        <w:rPr>
          <w:rFonts w:hint="eastAsia" w:asciiTheme="minorEastAsia" w:hAnsiTheme="minorEastAsia" w:eastAsiaTheme="minorEastAsia"/>
          <w:kern w:val="3"/>
          <w:sz w:val="24"/>
        </w:rPr>
        <w:t>由于项目预算编制不细化，导致过程中对年初批复预算进行调整：</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宋体" w:hAnsi="宋体" w:eastAsia="宋体"/>
          <w:sz w:val="24"/>
        </w:rPr>
        <w:t>将“民营（非公有制）经济、中小企业发展专项资金3</w:t>
      </w:r>
      <w:r>
        <w:rPr>
          <w:rFonts w:ascii="宋体" w:hAnsi="宋体" w:eastAsia="宋体"/>
          <w:sz w:val="24"/>
        </w:rPr>
        <w:t>,</w:t>
      </w:r>
      <w:r>
        <w:rPr>
          <w:rFonts w:hint="eastAsia" w:ascii="宋体" w:hAnsi="宋体" w:eastAsia="宋体"/>
          <w:sz w:val="24"/>
        </w:rPr>
        <w:t>690</w:t>
      </w:r>
      <w:r>
        <w:rPr>
          <w:rFonts w:ascii="宋体" w:hAnsi="宋体" w:eastAsia="宋体"/>
          <w:sz w:val="24"/>
        </w:rPr>
        <w:t>.00</w:t>
      </w:r>
      <w:r>
        <w:rPr>
          <w:rFonts w:hint="eastAsia" w:ascii="宋体" w:hAnsi="宋体" w:eastAsia="宋体"/>
          <w:sz w:val="24"/>
        </w:rPr>
        <w:t>万元中的2</w:t>
      </w:r>
      <w:r>
        <w:rPr>
          <w:rFonts w:ascii="宋体" w:hAnsi="宋体" w:eastAsia="宋体"/>
          <w:sz w:val="24"/>
        </w:rPr>
        <w:t>,</w:t>
      </w:r>
      <w:r>
        <w:rPr>
          <w:rFonts w:hint="eastAsia" w:ascii="宋体" w:hAnsi="宋体" w:eastAsia="宋体"/>
          <w:sz w:val="24"/>
        </w:rPr>
        <w:t>292</w:t>
      </w:r>
      <w:r>
        <w:rPr>
          <w:rFonts w:ascii="宋体" w:hAnsi="宋体" w:eastAsia="宋体"/>
          <w:sz w:val="24"/>
        </w:rPr>
        <w:t>.00</w:t>
      </w:r>
      <w:r>
        <w:rPr>
          <w:rFonts w:hint="eastAsia" w:ascii="宋体" w:hAnsi="宋体" w:eastAsia="宋体"/>
          <w:sz w:val="24"/>
        </w:rPr>
        <w:t>元及“2016年工业经济稳增长奖励资金1</w:t>
      </w:r>
      <w:r>
        <w:rPr>
          <w:rFonts w:ascii="宋体" w:hAnsi="宋体" w:eastAsia="宋体"/>
          <w:sz w:val="24"/>
        </w:rPr>
        <w:t>,</w:t>
      </w:r>
      <w:r>
        <w:rPr>
          <w:rFonts w:hint="eastAsia" w:ascii="宋体" w:hAnsi="宋体" w:eastAsia="宋体"/>
          <w:sz w:val="24"/>
        </w:rPr>
        <w:t>850</w:t>
      </w:r>
      <w:r>
        <w:rPr>
          <w:rFonts w:ascii="宋体" w:hAnsi="宋体" w:eastAsia="宋体"/>
          <w:sz w:val="24"/>
        </w:rPr>
        <w:t>.00</w:t>
      </w:r>
      <w:r>
        <w:rPr>
          <w:rFonts w:hint="eastAsia" w:ascii="宋体" w:hAnsi="宋体" w:eastAsia="宋体"/>
          <w:sz w:val="24"/>
        </w:rPr>
        <w:t>万元中的691.55万元调整到“四大重点产业发展基金”项目，预算调整金额2</w:t>
      </w:r>
      <w:r>
        <w:rPr>
          <w:rFonts w:ascii="宋体" w:hAnsi="宋体" w:eastAsia="宋体"/>
          <w:sz w:val="24"/>
        </w:rPr>
        <w:t>,</w:t>
      </w:r>
      <w:r>
        <w:rPr>
          <w:rFonts w:hint="eastAsia" w:ascii="宋体" w:hAnsi="宋体" w:eastAsia="宋体"/>
          <w:sz w:val="24"/>
        </w:rPr>
        <w:t xml:space="preserve">983.55万元。 </w:t>
      </w:r>
    </w:p>
    <w:p>
      <w:pPr>
        <w:spacing w:before="100" w:beforeAutospacing="1" w:after="100" w:afterAutospacing="1" w:line="500" w:lineRule="exact"/>
        <w:ind w:firstLine="200"/>
        <w:rPr>
          <w:rFonts w:asciiTheme="minorEastAsia" w:hAnsiTheme="minorEastAsia" w:eastAsiaTheme="minorEastAsia"/>
          <w:sz w:val="24"/>
        </w:rPr>
      </w:pPr>
      <w:r>
        <w:rPr>
          <w:rFonts w:hint="eastAsia" w:asciiTheme="minorEastAsia" w:hAnsiTheme="minorEastAsia" w:eastAsiaTheme="minorEastAsia"/>
          <w:sz w:val="24"/>
        </w:rPr>
        <w:t xml:space="preserve">2.绩效方面 </w:t>
      </w:r>
    </w:p>
    <w:p>
      <w:pPr>
        <w:pStyle w:val="21"/>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绩效管理工作未有效开展</w:t>
      </w:r>
    </w:p>
    <w:p>
      <w:pPr>
        <w:pStyle w:val="21"/>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1）年初申报绩效目标，不清晰、量化、便于考核。根据《云南省人民政府办公厅关于全面推进财政支出预算绩效管理的实施意见》（云政办发【2012】190号）绩效目标包括绩效指标、评价标准和预期完成目标，绩效指标的建立应清晰、量化、便于考核。</w:t>
      </w:r>
    </w:p>
    <w:p>
      <w:pPr>
        <w:pStyle w:val="21"/>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（2）曲靖市工信委未对本项目进行自评，未能提供绩效自评报告。 </w:t>
      </w:r>
    </w:p>
    <w:p>
      <w:pPr>
        <w:spacing w:before="100" w:beforeAutospacing="1" w:after="100" w:afterAutospacing="1" w:line="500" w:lineRule="exact"/>
        <w:ind w:firstLine="434" w:firstLineChars="200"/>
        <w:rPr>
          <w:rFonts w:asciiTheme="minorEastAsia" w:hAnsiTheme="minorEastAsia" w:eastAsiaTheme="minorEastAsia"/>
          <w:kern w:val="3"/>
          <w:sz w:val="24"/>
        </w:rPr>
      </w:pPr>
      <w:r>
        <w:rPr>
          <w:rFonts w:hint="eastAsia" w:asciiTheme="minorEastAsia" w:hAnsiTheme="minorEastAsia" w:eastAsiaTheme="minorEastAsia"/>
          <w:kern w:val="3"/>
          <w:sz w:val="24"/>
        </w:rPr>
        <w:t>（3）</w:t>
      </w:r>
      <w:r>
        <w:rPr>
          <w:rFonts w:hint="eastAsia" w:asciiTheme="minorEastAsia" w:hAnsiTheme="minorEastAsia" w:eastAsiaTheme="minorEastAsia"/>
          <w:sz w:val="24"/>
        </w:rPr>
        <w:t>曲靖市工信委</w:t>
      </w:r>
      <w:r>
        <w:rPr>
          <w:rFonts w:hint="eastAsia" w:asciiTheme="minorEastAsia" w:hAnsiTheme="minorEastAsia" w:eastAsiaTheme="minorEastAsia"/>
          <w:kern w:val="3"/>
          <w:sz w:val="24"/>
        </w:rPr>
        <w:t xml:space="preserve">未按照规定及时将项目绩效自评报告通过门户网站向社会公开，接受社会监督。 </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宋体" w:hAnsi="宋体" w:eastAsia="宋体" w:cs="宋体"/>
          <w:sz w:val="24"/>
        </w:rPr>
        <w:t xml:space="preserve">（4）曲靖市工信委在填报“绩效目标申报表”时，项目需跨年度实施完成的项目，未注明起止年限，未注明各年度应完成的目标，过于笼统，难于跟“产出”匹配。 </w:t>
      </w:r>
    </w:p>
    <w:p>
      <w:pPr>
        <w:pStyle w:val="21"/>
        <w:tabs>
          <w:tab w:val="left" w:pos="2493"/>
        </w:tabs>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3.项目管理方面 </w:t>
      </w:r>
      <w:r>
        <w:rPr>
          <w:rFonts w:asciiTheme="minorEastAsia" w:hAnsiTheme="minorEastAsia" w:eastAsiaTheme="minorEastAsia"/>
          <w:sz w:val="24"/>
          <w:szCs w:val="24"/>
        </w:rPr>
        <w:tab/>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cstheme="minorEastAsia"/>
          <w:sz w:val="24"/>
        </w:rPr>
        <w:t xml:space="preserve">后续管控未全部落实，沟通协调有待增强 </w:t>
      </w:r>
    </w:p>
    <w:p>
      <w:pPr>
        <w:pStyle w:val="21"/>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（1）曲靖市工信委未对</w:t>
      </w:r>
      <w:r>
        <w:rPr>
          <w:rFonts w:hint="eastAsia" w:ascii="宋体" w:hAnsi="宋体"/>
          <w:sz w:val="24"/>
        </w:rPr>
        <w:t>曲靖市投融资担保有限公司</w:t>
      </w:r>
      <w:r>
        <w:rPr>
          <w:rFonts w:hint="eastAsia" w:asciiTheme="minorEastAsia" w:hAnsiTheme="minorEastAsia" w:eastAsiaTheme="minorEastAsia"/>
          <w:sz w:val="24"/>
          <w:szCs w:val="24"/>
        </w:rPr>
        <w:t>项目实施、资金使用等形成有效的监管。</w:t>
      </w:r>
    </w:p>
    <w:p>
      <w:pPr>
        <w:widowControl/>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曲靖市工信委四大重点产业发展基金项目是由曲靖市工信委统一进行项目申报，项目资金共计</w:t>
      </w:r>
      <w:r>
        <w:rPr>
          <w:rFonts w:hint="eastAsia" w:ascii="宋体" w:hAnsi="宋体" w:eastAsia="宋体"/>
          <w:sz w:val="24"/>
        </w:rPr>
        <w:t>14</w:t>
      </w:r>
      <w:r>
        <w:rPr>
          <w:rFonts w:ascii="宋体" w:hAnsi="宋体" w:eastAsia="宋体"/>
          <w:sz w:val="24"/>
        </w:rPr>
        <w:t>,</w:t>
      </w:r>
      <w:r>
        <w:rPr>
          <w:rFonts w:hint="eastAsia" w:ascii="宋体" w:hAnsi="宋体" w:eastAsia="宋体"/>
          <w:sz w:val="24"/>
        </w:rPr>
        <w:t>983.55</w:t>
      </w:r>
      <w:r>
        <w:rPr>
          <w:rFonts w:hint="eastAsia" w:asciiTheme="minorEastAsia" w:hAnsiTheme="minorEastAsia" w:eastAsiaTheme="minorEastAsia"/>
          <w:sz w:val="24"/>
        </w:rPr>
        <w:t>万元，项目实施主体为曲靖市工信委未</w:t>
      </w:r>
      <w:r>
        <w:rPr>
          <w:rFonts w:hint="eastAsia" w:ascii="宋体" w:hAnsi="宋体" w:eastAsia="宋体"/>
          <w:sz w:val="24"/>
        </w:rPr>
        <w:t>曲靖市投融资担保有限公司</w:t>
      </w:r>
      <w:r>
        <w:rPr>
          <w:rFonts w:hint="eastAsia" w:asciiTheme="minorEastAsia" w:hAnsiTheme="minorEastAsia" w:eastAsiaTheme="minorEastAsia"/>
          <w:sz w:val="24"/>
        </w:rPr>
        <w:t>。经检查发现，曲靖市工信委未对</w:t>
      </w:r>
      <w:r>
        <w:rPr>
          <w:rFonts w:hint="eastAsia" w:ascii="宋体" w:hAnsi="宋体" w:eastAsia="宋体"/>
          <w:sz w:val="24"/>
        </w:rPr>
        <w:t>曲靖市投融资担保有限公司</w:t>
      </w:r>
      <w:r>
        <w:rPr>
          <w:rFonts w:hint="eastAsia" w:asciiTheme="minorEastAsia" w:hAnsiTheme="minorEastAsia" w:eastAsiaTheme="minorEastAsia"/>
          <w:sz w:val="24"/>
        </w:rPr>
        <w:t>项目实施、资金使用等进行项目跟踪，项目监管存在一定的缺陷。</w:t>
      </w:r>
    </w:p>
    <w:p>
      <w:pPr>
        <w:spacing w:before="100" w:beforeAutospacing="1" w:after="100" w:afterAutospacing="1" w:line="500" w:lineRule="exact"/>
        <w:ind w:firstLine="434"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未建立基金绩效评价操作细则。《基金总体方案》明确指出：“建立以突出服务政府战略，侧重风险控制，利润回报为导向的绩效评价体系”并明确政府部门职能为“在基金的存续期内，对资金的投放、企业管理、退出等各个环节进行监管。并建立相应的年度绩效考核办法和风险预警机制”。截止评价日，以上文件要求尚未落实细化，未形成具体的绩效评价体系及其相关操作细则。</w:t>
      </w:r>
    </w:p>
    <w:p>
      <w:pPr>
        <w:pStyle w:val="21"/>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4.资金管理方面</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实际支出率偏低</w:t>
      </w:r>
    </w:p>
    <w:p>
      <w:pPr>
        <w:spacing w:before="100" w:beforeAutospacing="1" w:after="100" w:afterAutospacing="1" w:line="500" w:lineRule="exact"/>
        <w:ind w:firstLine="434" w:firstLineChars="200"/>
        <w:rPr>
          <w:rFonts w:cs="黑体" w:asciiTheme="minorEastAsia" w:hAnsiTheme="minorEastAsia" w:eastAsiaTheme="minorEastAsia"/>
          <w:bCs/>
          <w:sz w:val="24"/>
        </w:rPr>
      </w:pPr>
      <w:r>
        <w:rPr>
          <w:rFonts w:hint="eastAsia" w:asciiTheme="minorEastAsia" w:hAnsiTheme="minorEastAsia" w:eastAsiaTheme="minorEastAsia"/>
          <w:sz w:val="24"/>
        </w:rPr>
        <w:t>经对资金延伸检查，</w:t>
      </w:r>
      <w:r>
        <w:rPr>
          <w:rFonts w:hint="eastAsia" w:ascii="宋体" w:hAnsi="宋体" w:eastAsia="宋体"/>
          <w:sz w:val="24"/>
        </w:rPr>
        <w:t>四大重点产业发展基金项目资金到位14</w:t>
      </w:r>
      <w:r>
        <w:rPr>
          <w:rFonts w:ascii="宋体" w:hAnsi="宋体" w:eastAsia="宋体"/>
          <w:sz w:val="24"/>
        </w:rPr>
        <w:t>,</w:t>
      </w:r>
      <w:r>
        <w:rPr>
          <w:rFonts w:hint="eastAsia" w:ascii="宋体" w:hAnsi="宋体" w:eastAsia="宋体"/>
          <w:sz w:val="24"/>
        </w:rPr>
        <w:t>983.55万元，到位率100%，2017年度项目资金实际支出10</w:t>
      </w:r>
      <w:r>
        <w:rPr>
          <w:rFonts w:ascii="宋体" w:hAnsi="宋体" w:eastAsia="宋体"/>
          <w:sz w:val="24"/>
        </w:rPr>
        <w:t>,</w:t>
      </w:r>
      <w:r>
        <w:rPr>
          <w:rFonts w:hint="eastAsia" w:ascii="宋体" w:hAnsi="宋体" w:eastAsia="宋体"/>
          <w:sz w:val="24"/>
        </w:rPr>
        <w:t>500</w:t>
      </w:r>
      <w:r>
        <w:rPr>
          <w:rFonts w:ascii="宋体" w:hAnsi="宋体" w:eastAsia="宋体"/>
          <w:sz w:val="24"/>
        </w:rPr>
        <w:t>.00</w:t>
      </w:r>
      <w:r>
        <w:rPr>
          <w:rFonts w:hint="eastAsia" w:ascii="宋体" w:hAnsi="宋体" w:eastAsia="宋体"/>
          <w:sz w:val="24"/>
        </w:rPr>
        <w:t>万元，</w:t>
      </w:r>
      <w:r>
        <w:rPr>
          <w:rFonts w:hint="eastAsia" w:asciiTheme="minorEastAsia" w:hAnsiTheme="minorEastAsia" w:eastAsiaTheme="minorEastAsia"/>
          <w:sz w:val="24"/>
        </w:rPr>
        <w:t>支出率为</w:t>
      </w:r>
      <w:r>
        <w:rPr>
          <w:rFonts w:hint="eastAsia" w:cs="Times New Roman" w:asciiTheme="minorEastAsia" w:hAnsiTheme="minorEastAsia" w:eastAsiaTheme="minorEastAsia"/>
          <w:sz w:val="24"/>
        </w:rPr>
        <w:t>70.08%。</w:t>
      </w:r>
    </w:p>
    <w:p>
      <w:pPr>
        <w:spacing w:before="100" w:beforeAutospacing="1" w:after="100" w:afterAutospacing="1" w:line="500" w:lineRule="exact"/>
        <w:ind w:firstLine="434" w:firstLineChars="200"/>
        <w:rPr>
          <w:rFonts w:ascii="黑体" w:hAnsi="黑体" w:eastAsia="黑体" w:cs="黑体"/>
          <w:bCs/>
          <w:sz w:val="24"/>
        </w:rPr>
      </w:pPr>
      <w:r>
        <w:rPr>
          <w:rFonts w:hint="eastAsia" w:ascii="黑体" w:hAnsi="黑体" w:eastAsia="黑体" w:cs="黑体"/>
          <w:bCs/>
          <w:sz w:val="24"/>
        </w:rPr>
        <w:t>（二）建议</w:t>
      </w:r>
    </w:p>
    <w:p>
      <w:pPr>
        <w:spacing w:before="100" w:beforeAutospacing="1" w:after="100" w:afterAutospacing="1" w:line="500" w:lineRule="exact"/>
        <w:ind w:firstLine="434" w:firstLineChars="200"/>
        <w:rPr>
          <w:rFonts w:cs="黑体" w:asciiTheme="minorEastAsia" w:hAnsiTheme="minorEastAsia" w:eastAsiaTheme="minorEastAsia"/>
          <w:bCs/>
          <w:sz w:val="24"/>
        </w:rPr>
      </w:pPr>
      <w:r>
        <w:rPr>
          <w:rFonts w:hint="eastAsia" w:cs="黑体" w:asciiTheme="minorEastAsia" w:hAnsiTheme="minorEastAsia" w:eastAsiaTheme="minorEastAsia"/>
          <w:bCs/>
          <w:sz w:val="24"/>
        </w:rPr>
        <w:t>1.</w:t>
      </w:r>
      <w:r>
        <w:rPr>
          <w:rFonts w:hint="eastAsia" w:asciiTheme="minorEastAsia" w:hAnsiTheme="minorEastAsia" w:eastAsiaTheme="minorEastAsia"/>
          <w:sz w:val="24"/>
        </w:rPr>
        <w:t xml:space="preserve">预算编制方面 </w:t>
      </w:r>
    </w:p>
    <w:p>
      <w:pPr>
        <w:spacing w:before="100" w:beforeAutospacing="1" w:after="100" w:afterAutospacing="1" w:line="500" w:lineRule="exact"/>
        <w:ind w:firstLine="434" w:firstLineChars="200"/>
        <w:rPr>
          <w:rFonts w:cs="黑体" w:asciiTheme="minorEastAsia" w:hAnsiTheme="minorEastAsia" w:eastAsiaTheme="minorEastAsia"/>
          <w:bCs/>
          <w:sz w:val="24"/>
        </w:rPr>
      </w:pPr>
      <w:r>
        <w:rPr>
          <w:rFonts w:hint="eastAsia" w:asciiTheme="minorEastAsia" w:hAnsiTheme="minorEastAsia" w:eastAsiaTheme="minorEastAsia"/>
          <w:kern w:val="3"/>
          <w:sz w:val="24"/>
        </w:rPr>
        <w:t xml:space="preserve">建议曲靖市工信委加强预算执行编制工作，让预算编制科学、准确、细化。 </w:t>
      </w:r>
      <w:r>
        <w:rPr>
          <w:rFonts w:hint="eastAsia" w:asciiTheme="minorEastAsia" w:hAnsiTheme="minorEastAsia" w:eastAsiaTheme="minorEastAsia"/>
          <w:sz w:val="24"/>
        </w:rPr>
        <w:t xml:space="preserve"> </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2.绩效方面</w:t>
      </w:r>
    </w:p>
    <w:p>
      <w:pPr>
        <w:pStyle w:val="20"/>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加强绩效管理，提高绩效管理水平 </w:t>
      </w:r>
    </w:p>
    <w:p>
      <w:pPr>
        <w:pStyle w:val="20"/>
        <w:spacing w:before="100" w:beforeAutospacing="1" w:after="100" w:afterAutospacing="1" w:line="500" w:lineRule="exact"/>
        <w:ind w:firstLine="434"/>
        <w:rPr>
          <w:rFonts w:asciiTheme="minorEastAsia" w:hAnsiTheme="minorEastAsia" w:eastAsiaTheme="minorEastAsia"/>
          <w:sz w:val="24"/>
          <w:szCs w:val="24"/>
        </w:rPr>
      </w:pPr>
      <w:r>
        <w:rPr>
          <w:rFonts w:hint="eastAsia" w:asciiTheme="minorEastAsia" w:hAnsiTheme="minorEastAsia" w:eastAsiaTheme="minorEastAsia"/>
          <w:sz w:val="24"/>
          <w:szCs w:val="24"/>
        </w:rPr>
        <w:t>（1）强化绩效目标管理。绩效目标是绩效监控和绩效评价的依据，是全过程预算绩效管理的基础和起点。曲靖市工信委年初申报绩效目标，应清晰、量化、便于考核。项目结束后，曲靖市工信委要组织对预算绩效目标实现结果开展自评，形成项目绩效报告。</w:t>
      </w:r>
    </w:p>
    <w:p>
      <w:pPr>
        <w:spacing w:before="100" w:beforeAutospacing="1" w:after="100" w:afterAutospacing="1" w:line="500" w:lineRule="exact"/>
        <w:ind w:firstLine="434" w:firstLineChars="200"/>
        <w:rPr>
          <w:rFonts w:asciiTheme="minorEastAsia" w:hAnsiTheme="minorEastAsia" w:eastAsiaTheme="minorEastAsia"/>
          <w:kern w:val="3"/>
          <w:sz w:val="24"/>
        </w:rPr>
      </w:pPr>
      <w:r>
        <w:rPr>
          <w:rFonts w:hint="eastAsia" w:asciiTheme="minorEastAsia" w:hAnsiTheme="minorEastAsia" w:eastAsiaTheme="minorEastAsia"/>
          <w:sz w:val="24"/>
        </w:rPr>
        <w:t>（2）建议曲靖市工信委</w:t>
      </w:r>
      <w:r>
        <w:rPr>
          <w:rFonts w:hint="eastAsia" w:asciiTheme="minorEastAsia" w:hAnsiTheme="minorEastAsia" w:eastAsiaTheme="minorEastAsia"/>
          <w:kern w:val="3"/>
          <w:sz w:val="24"/>
        </w:rPr>
        <w:t xml:space="preserve">及时按规定公开本部门绩效自评报告，接受各方监督。  </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 xml:space="preserve">3.项目管理方面 </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 xml:space="preserve">（1）建议曲靖市工信委对项目实施有效的监管，保证项目实施的规范性和准确性。  </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kern w:val="3"/>
          <w:sz w:val="24"/>
        </w:rPr>
        <w:t>（2）针对政府投资基金，结合产业实际特点，分别建立一套兼顾政策效应和投资收益两方面的引导基金考核标准，以结果为导向，引导各基金在政府引导和市场运作两个层面上加强工作力度，不走偏，努力实现基金政策初衷。</w:t>
      </w:r>
    </w:p>
    <w:p>
      <w:pPr>
        <w:pStyle w:val="21"/>
        <w:spacing w:before="100" w:beforeAutospacing="1" w:after="100" w:afterAutospacing="1" w:line="500" w:lineRule="exact"/>
        <w:ind w:firstLine="651" w:firstLineChars="300"/>
        <w:rPr>
          <w:rFonts w:asciiTheme="minorEastAsia" w:hAnsiTheme="minorEastAsia" w:eastAsiaTheme="minorEastAsia"/>
          <w:sz w:val="24"/>
          <w:szCs w:val="24"/>
        </w:rPr>
      </w:pPr>
      <w:r>
        <w:rPr>
          <w:rFonts w:hint="eastAsia" w:asciiTheme="minorEastAsia" w:hAnsiTheme="minorEastAsia" w:eastAsiaTheme="minorEastAsia" w:cstheme="minorEastAsia"/>
          <w:sz w:val="24"/>
        </w:rPr>
        <w:t>4.</w:t>
      </w:r>
      <w:r>
        <w:rPr>
          <w:rFonts w:hint="eastAsia" w:asciiTheme="minorEastAsia" w:hAnsiTheme="minorEastAsia" w:eastAsiaTheme="minorEastAsia"/>
          <w:sz w:val="24"/>
          <w:szCs w:val="24"/>
        </w:rPr>
        <w:t>资金管理方面</w:t>
      </w:r>
    </w:p>
    <w:p>
      <w:pPr>
        <w:spacing w:before="100" w:beforeAutospacing="1" w:after="100" w:afterAutospacing="1" w:line="500" w:lineRule="exact"/>
        <w:ind w:firstLine="434" w:firstLineChars="200"/>
        <w:rPr>
          <w:rFonts w:asciiTheme="minorEastAsia" w:hAnsiTheme="minorEastAsia" w:eastAsiaTheme="minorEastAsia" w:cstheme="minorEastAsia"/>
          <w:sz w:val="24"/>
        </w:rPr>
      </w:pPr>
      <w:r>
        <w:rPr>
          <w:rFonts w:hint="eastAsia" w:asciiTheme="minorEastAsia" w:hAnsiTheme="minorEastAsia" w:eastAsiaTheme="minorEastAsia"/>
          <w:sz w:val="24"/>
        </w:rPr>
        <w:t xml:space="preserve"> 建议在以后年度项目实施过程中加强资金管理，确保项目进度。</w:t>
      </w:r>
    </w:p>
    <w:p>
      <w:pPr>
        <w:spacing w:before="100" w:beforeAutospacing="1" w:after="100" w:afterAutospacing="1" w:line="500" w:lineRule="exact"/>
        <w:ind w:firstLine="434" w:firstLineChars="200"/>
        <w:rPr>
          <w:rFonts w:ascii="黑体" w:hAnsi="黑体" w:eastAsia="黑体" w:cs="黑体"/>
          <w:b/>
          <w:bCs/>
          <w:sz w:val="24"/>
        </w:rPr>
      </w:pPr>
      <w:r>
        <w:rPr>
          <w:rFonts w:hint="eastAsia" w:ascii="黑体" w:hAnsi="黑体" w:eastAsia="黑体" w:cs="黑体"/>
          <w:b/>
          <w:bCs/>
          <w:sz w:val="24"/>
        </w:rPr>
        <w:t>八、其他需要说明的问题</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1.本项目绩效评价指标设定时，部分效果指标难以量化，如社会效益指标、生态效益指标、可持续影响指标等，这对全面反映项目绩效可能存在一定的局限性。</w:t>
      </w:r>
    </w:p>
    <w:p>
      <w:pPr>
        <w:spacing w:before="100" w:beforeAutospacing="1" w:after="100" w:afterAutospacing="1"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2.满意度调查中参与调查的人员是随机抽取的，调查对象和样本存在一定的局限性，满意度情况不具有完全代表性。</w:t>
      </w:r>
    </w:p>
    <w:p>
      <w:pPr>
        <w:spacing w:afterLines="50"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相关附件：</w:t>
      </w:r>
    </w:p>
    <w:p>
      <w:pPr>
        <w:spacing w:afterLines="50"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（一）曲靖市工信委四大重点产业发展基金评价指标体系及评分明细表</w:t>
      </w:r>
    </w:p>
    <w:p>
      <w:pPr>
        <w:spacing w:afterLines="50"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（二）评价人员</w:t>
      </w:r>
    </w:p>
    <w:p>
      <w:pPr>
        <w:spacing w:afterLines="50" w:line="500" w:lineRule="exact"/>
        <w:ind w:firstLine="434" w:firstLineChars="200"/>
        <w:rPr>
          <w:rFonts w:asciiTheme="minorEastAsia" w:hAnsiTheme="minorEastAsia" w:eastAsiaTheme="minorEastAsia"/>
          <w:sz w:val="24"/>
        </w:rPr>
      </w:pPr>
      <w:r>
        <w:rPr>
          <w:rFonts w:hint="eastAsia" w:asciiTheme="minorEastAsia" w:hAnsiTheme="minorEastAsia" w:eastAsiaTheme="minorEastAsia"/>
          <w:sz w:val="24"/>
        </w:rPr>
        <w:t>（三）问卷调查表样表</w:t>
      </w:r>
    </w:p>
    <w:p>
      <w:pPr>
        <w:spacing w:afterLines="50" w:line="500" w:lineRule="exact"/>
        <w:ind w:firstLine="434" w:firstLineChars="200"/>
        <w:rPr>
          <w:rFonts w:asciiTheme="minorEastAsia" w:hAnsiTheme="minorEastAsia" w:eastAsiaTheme="minorEastAsia"/>
          <w:sz w:val="24"/>
        </w:rPr>
      </w:pPr>
    </w:p>
    <w:tbl>
      <w:tblPr>
        <w:tblStyle w:val="9"/>
        <w:tblW w:w="8522" w:type="dxa"/>
        <w:tblInd w:w="0" w:type="dxa"/>
        <w:tblLayout w:type="fixed"/>
        <w:tblCellMar>
          <w:top w:w="0" w:type="dxa"/>
          <w:left w:w="108" w:type="dxa"/>
          <w:bottom w:w="0" w:type="dxa"/>
          <w:right w:w="108" w:type="dxa"/>
        </w:tblCellMar>
      </w:tblPr>
      <w:tblGrid>
        <w:gridCol w:w="4261"/>
        <w:gridCol w:w="2644"/>
        <w:gridCol w:w="1617"/>
      </w:tblGrid>
      <w:tr>
        <w:tblPrEx>
          <w:tblLayout w:type="fixed"/>
          <w:tblCellMar>
            <w:top w:w="0" w:type="dxa"/>
            <w:left w:w="108" w:type="dxa"/>
            <w:bottom w:w="0" w:type="dxa"/>
            <w:right w:w="108" w:type="dxa"/>
          </w:tblCellMar>
        </w:tblPrEx>
        <w:trPr>
          <w:cantSplit/>
          <w:trHeight w:val="1355" w:hRule="atLeast"/>
        </w:trPr>
        <w:tc>
          <w:tcPr>
            <w:tcW w:w="4261" w:type="dxa"/>
            <w:vMerge w:val="restart"/>
            <w:tcBorders>
              <w:top w:val="nil"/>
              <w:left w:val="nil"/>
              <w:bottom w:val="nil"/>
              <w:right w:val="nil"/>
            </w:tcBorders>
            <w:vAlign w:val="center"/>
          </w:tcPr>
          <w:p>
            <w:pPr>
              <w:spacing w:afterLines="50" w:line="360" w:lineRule="auto"/>
              <w:ind w:firstLine="217" w:firstLineChars="1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云南华瑞信会计师事务</w:t>
            </w:r>
          </w:p>
          <w:p>
            <w:pPr>
              <w:spacing w:afterLines="50" w:line="360" w:lineRule="auto"/>
              <w:ind w:firstLine="1085" w:firstLineChars="5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有限公司</w:t>
            </w:r>
          </w:p>
          <w:p>
            <w:pPr>
              <w:spacing w:afterLines="50" w:line="360" w:lineRule="auto"/>
              <w:ind w:firstLine="868" w:firstLineChars="4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中国·昆明</w:t>
            </w:r>
          </w:p>
          <w:p>
            <w:pPr>
              <w:spacing w:afterLines="50" w:line="360" w:lineRule="auto"/>
              <w:ind w:firstLine="434" w:firstLineChars="20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二○一九年一月二十日</w:t>
            </w:r>
          </w:p>
        </w:tc>
        <w:tc>
          <w:tcPr>
            <w:tcW w:w="2644" w:type="dxa"/>
            <w:tcBorders>
              <w:top w:val="nil"/>
              <w:left w:val="nil"/>
              <w:bottom w:val="nil"/>
              <w:right w:val="nil"/>
            </w:tcBorders>
            <w:vAlign w:val="center"/>
          </w:tcPr>
          <w:p>
            <w:pPr>
              <w:spacing w:afterLines="50" w:line="360" w:lineRule="auto"/>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中国注册会计师：</w:t>
            </w:r>
          </w:p>
        </w:tc>
        <w:tc>
          <w:tcPr>
            <w:tcW w:w="1617" w:type="dxa"/>
            <w:tcBorders>
              <w:top w:val="nil"/>
              <w:left w:val="nil"/>
              <w:bottom w:val="nil"/>
              <w:right w:val="nil"/>
            </w:tcBorders>
            <w:vAlign w:val="center"/>
          </w:tcPr>
          <w:p>
            <w:pPr>
              <w:spacing w:afterLines="50" w:line="360" w:lineRule="auto"/>
              <w:ind w:firstLine="434" w:firstLineChars="200"/>
              <w:jc w:val="center"/>
              <w:rPr>
                <w:rFonts w:cs="宋体" w:asciiTheme="minorEastAsia" w:hAnsiTheme="minorEastAsia" w:eastAsiaTheme="minorEastAsia"/>
                <w:sz w:val="24"/>
              </w:rPr>
            </w:pPr>
          </w:p>
        </w:tc>
      </w:tr>
      <w:tr>
        <w:tblPrEx>
          <w:tblLayout w:type="fixed"/>
          <w:tblCellMar>
            <w:top w:w="0" w:type="dxa"/>
            <w:left w:w="108" w:type="dxa"/>
            <w:bottom w:w="0" w:type="dxa"/>
            <w:right w:w="108" w:type="dxa"/>
          </w:tblCellMar>
        </w:tblPrEx>
        <w:trPr>
          <w:cantSplit/>
          <w:trHeight w:val="1235" w:hRule="atLeast"/>
        </w:trPr>
        <w:tc>
          <w:tcPr>
            <w:tcW w:w="4261" w:type="dxa"/>
            <w:vMerge w:val="continue"/>
            <w:tcBorders>
              <w:top w:val="nil"/>
              <w:left w:val="nil"/>
              <w:bottom w:val="nil"/>
              <w:right w:val="nil"/>
            </w:tcBorders>
            <w:vAlign w:val="center"/>
          </w:tcPr>
          <w:p>
            <w:pPr>
              <w:spacing w:afterLines="50" w:line="360" w:lineRule="auto"/>
              <w:ind w:firstLine="434" w:firstLineChars="200"/>
              <w:jc w:val="center"/>
              <w:rPr>
                <w:rFonts w:cs="宋体" w:asciiTheme="minorEastAsia" w:hAnsiTheme="minorEastAsia" w:eastAsiaTheme="minorEastAsia"/>
                <w:sz w:val="24"/>
              </w:rPr>
            </w:pPr>
          </w:p>
        </w:tc>
        <w:tc>
          <w:tcPr>
            <w:tcW w:w="2644" w:type="dxa"/>
            <w:tcBorders>
              <w:top w:val="nil"/>
              <w:left w:val="nil"/>
              <w:bottom w:val="nil"/>
              <w:right w:val="nil"/>
            </w:tcBorders>
            <w:vAlign w:val="center"/>
          </w:tcPr>
          <w:p>
            <w:pPr>
              <w:spacing w:afterLines="50" w:line="360" w:lineRule="auto"/>
              <w:ind w:firstLine="434" w:firstLineChars="200"/>
              <w:jc w:val="center"/>
              <w:rPr>
                <w:rFonts w:cs="宋体" w:asciiTheme="minorEastAsia" w:hAnsiTheme="minorEastAsia" w:eastAsiaTheme="minorEastAsia"/>
                <w:sz w:val="24"/>
              </w:rPr>
            </w:pPr>
          </w:p>
          <w:p>
            <w:pPr>
              <w:spacing w:afterLines="50" w:line="360" w:lineRule="auto"/>
              <w:ind w:firstLine="434"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中国注册会计师：</w:t>
            </w:r>
          </w:p>
        </w:tc>
        <w:tc>
          <w:tcPr>
            <w:tcW w:w="1617" w:type="dxa"/>
            <w:tcBorders>
              <w:top w:val="nil"/>
              <w:left w:val="nil"/>
              <w:bottom w:val="nil"/>
              <w:right w:val="nil"/>
            </w:tcBorders>
            <w:vAlign w:val="center"/>
          </w:tcPr>
          <w:p>
            <w:pPr>
              <w:spacing w:afterLines="50" w:line="360" w:lineRule="auto"/>
              <w:ind w:firstLine="434" w:firstLineChars="200"/>
              <w:jc w:val="center"/>
              <w:rPr>
                <w:rFonts w:cs="宋体" w:asciiTheme="minorEastAsia" w:hAnsiTheme="minorEastAsia" w:eastAsiaTheme="minorEastAsia"/>
                <w:sz w:val="24"/>
              </w:rPr>
            </w:pPr>
          </w:p>
        </w:tc>
      </w:tr>
    </w:tbl>
    <w:p>
      <w:pPr>
        <w:spacing w:line="360" w:lineRule="auto"/>
        <w:ind w:firstLine="434" w:firstLineChars="200"/>
        <w:outlineLvl w:val="0"/>
        <w:rPr>
          <w:rFonts w:cs="仿宋_GB2312" w:asciiTheme="minorEastAsia" w:hAnsiTheme="minorEastAsia" w:eastAsiaTheme="minorEastAsia"/>
          <w:sz w:val="24"/>
          <w:lang w:val="zh-TW"/>
        </w:rPr>
      </w:pPr>
    </w:p>
    <w:sectPr>
      <w:footerReference r:id="rId3" w:type="default"/>
      <w:pgSz w:w="11906" w:h="16838"/>
      <w:pgMar w:top="1440" w:right="1800" w:bottom="1440" w:left="1800" w:header="851" w:footer="992" w:gutter="0"/>
      <w:cols w:space="0" w:num="1"/>
      <w:docGrid w:type="linesAndChars" w:linePitch="465" w:charSpace="-47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5"/>
                  <w:rPr>
                    <w:rFonts w:eastAsiaTheme="minorEastAsia"/>
                  </w:rPr>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821749"/>
    <w:multiLevelType w:val="singleLevel"/>
    <w:tmpl w:val="B68217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HorizontalSpacing w:val="138"/>
  <w:drawingGridVerticalSpacing w:val="233"/>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4C1A1E"/>
    <w:rsid w:val="000026C8"/>
    <w:rsid w:val="00007541"/>
    <w:rsid w:val="000135A3"/>
    <w:rsid w:val="00015B74"/>
    <w:rsid w:val="00020626"/>
    <w:rsid w:val="000246B0"/>
    <w:rsid w:val="000333D3"/>
    <w:rsid w:val="00042F2A"/>
    <w:rsid w:val="00043CE5"/>
    <w:rsid w:val="00053EE4"/>
    <w:rsid w:val="00062CF6"/>
    <w:rsid w:val="00064C7F"/>
    <w:rsid w:val="00074F9A"/>
    <w:rsid w:val="00075E0C"/>
    <w:rsid w:val="00077036"/>
    <w:rsid w:val="000950EA"/>
    <w:rsid w:val="00096ADE"/>
    <w:rsid w:val="000A181F"/>
    <w:rsid w:val="000A25DB"/>
    <w:rsid w:val="000B5177"/>
    <w:rsid w:val="000C0F4C"/>
    <w:rsid w:val="000C4E3D"/>
    <w:rsid w:val="000C57AD"/>
    <w:rsid w:val="000D1AF0"/>
    <w:rsid w:val="000D3778"/>
    <w:rsid w:val="000E3C32"/>
    <w:rsid w:val="000F0249"/>
    <w:rsid w:val="000F686D"/>
    <w:rsid w:val="000F706F"/>
    <w:rsid w:val="001013B9"/>
    <w:rsid w:val="001023DA"/>
    <w:rsid w:val="001054E1"/>
    <w:rsid w:val="00105E55"/>
    <w:rsid w:val="0012389F"/>
    <w:rsid w:val="00130C63"/>
    <w:rsid w:val="00134684"/>
    <w:rsid w:val="00140ABF"/>
    <w:rsid w:val="00144605"/>
    <w:rsid w:val="00145405"/>
    <w:rsid w:val="0015085C"/>
    <w:rsid w:val="001542AB"/>
    <w:rsid w:val="0015645E"/>
    <w:rsid w:val="00156C06"/>
    <w:rsid w:val="001613F3"/>
    <w:rsid w:val="00163539"/>
    <w:rsid w:val="00176C02"/>
    <w:rsid w:val="00176C7A"/>
    <w:rsid w:val="00185B36"/>
    <w:rsid w:val="00194B5D"/>
    <w:rsid w:val="00195578"/>
    <w:rsid w:val="001A16CE"/>
    <w:rsid w:val="001A2E64"/>
    <w:rsid w:val="001A5045"/>
    <w:rsid w:val="001A51B7"/>
    <w:rsid w:val="001C2C18"/>
    <w:rsid w:val="001C6AD0"/>
    <w:rsid w:val="001D21AF"/>
    <w:rsid w:val="001E629A"/>
    <w:rsid w:val="0020529D"/>
    <w:rsid w:val="00212B07"/>
    <w:rsid w:val="002210A1"/>
    <w:rsid w:val="00225471"/>
    <w:rsid w:val="00227E1F"/>
    <w:rsid w:val="00233C92"/>
    <w:rsid w:val="002365A9"/>
    <w:rsid w:val="00240DA0"/>
    <w:rsid w:val="002503EE"/>
    <w:rsid w:val="00263304"/>
    <w:rsid w:val="00275E4D"/>
    <w:rsid w:val="00277681"/>
    <w:rsid w:val="00285FE7"/>
    <w:rsid w:val="00294044"/>
    <w:rsid w:val="002944A6"/>
    <w:rsid w:val="00296AD9"/>
    <w:rsid w:val="002A10BA"/>
    <w:rsid w:val="002B1B80"/>
    <w:rsid w:val="002B72DC"/>
    <w:rsid w:val="002C0946"/>
    <w:rsid w:val="002C2EAE"/>
    <w:rsid w:val="002D6009"/>
    <w:rsid w:val="002E0665"/>
    <w:rsid w:val="002E3FAC"/>
    <w:rsid w:val="002E43E6"/>
    <w:rsid w:val="002F1F98"/>
    <w:rsid w:val="0030121F"/>
    <w:rsid w:val="003031DE"/>
    <w:rsid w:val="00304D3E"/>
    <w:rsid w:val="003073FD"/>
    <w:rsid w:val="0031767B"/>
    <w:rsid w:val="00322A88"/>
    <w:rsid w:val="00331F34"/>
    <w:rsid w:val="00332DF6"/>
    <w:rsid w:val="00341FBC"/>
    <w:rsid w:val="0034208C"/>
    <w:rsid w:val="003428E9"/>
    <w:rsid w:val="003513EF"/>
    <w:rsid w:val="003616CF"/>
    <w:rsid w:val="00361A9E"/>
    <w:rsid w:val="003643BA"/>
    <w:rsid w:val="00393590"/>
    <w:rsid w:val="00393690"/>
    <w:rsid w:val="003966EC"/>
    <w:rsid w:val="0039727E"/>
    <w:rsid w:val="00397645"/>
    <w:rsid w:val="003A0C82"/>
    <w:rsid w:val="003B0969"/>
    <w:rsid w:val="003E0AD1"/>
    <w:rsid w:val="003E6D87"/>
    <w:rsid w:val="003F7063"/>
    <w:rsid w:val="004018D8"/>
    <w:rsid w:val="00407679"/>
    <w:rsid w:val="004138B9"/>
    <w:rsid w:val="0041423C"/>
    <w:rsid w:val="00414E9B"/>
    <w:rsid w:val="0041729D"/>
    <w:rsid w:val="004323C6"/>
    <w:rsid w:val="00432B17"/>
    <w:rsid w:val="00432CB2"/>
    <w:rsid w:val="0045073E"/>
    <w:rsid w:val="00451275"/>
    <w:rsid w:val="00463E2D"/>
    <w:rsid w:val="004645F1"/>
    <w:rsid w:val="00467DB6"/>
    <w:rsid w:val="00467F78"/>
    <w:rsid w:val="00470DDD"/>
    <w:rsid w:val="00476A1E"/>
    <w:rsid w:val="00483503"/>
    <w:rsid w:val="004836C4"/>
    <w:rsid w:val="004A1329"/>
    <w:rsid w:val="004A2D55"/>
    <w:rsid w:val="004B762E"/>
    <w:rsid w:val="004B7D00"/>
    <w:rsid w:val="004C1A1E"/>
    <w:rsid w:val="004C2781"/>
    <w:rsid w:val="004C3C54"/>
    <w:rsid w:val="004C5209"/>
    <w:rsid w:val="004D2D3E"/>
    <w:rsid w:val="004D4F5E"/>
    <w:rsid w:val="004E25EB"/>
    <w:rsid w:val="00503566"/>
    <w:rsid w:val="005035E9"/>
    <w:rsid w:val="00505F83"/>
    <w:rsid w:val="00507F46"/>
    <w:rsid w:val="00510CB5"/>
    <w:rsid w:val="00526402"/>
    <w:rsid w:val="00537FC0"/>
    <w:rsid w:val="00545A38"/>
    <w:rsid w:val="005501A0"/>
    <w:rsid w:val="00556274"/>
    <w:rsid w:val="00565253"/>
    <w:rsid w:val="0057684F"/>
    <w:rsid w:val="00580705"/>
    <w:rsid w:val="005810C1"/>
    <w:rsid w:val="005879B1"/>
    <w:rsid w:val="005A19AD"/>
    <w:rsid w:val="005A6A3E"/>
    <w:rsid w:val="005B4002"/>
    <w:rsid w:val="005C3FB6"/>
    <w:rsid w:val="005D2FD8"/>
    <w:rsid w:val="005D3B8C"/>
    <w:rsid w:val="005D49C9"/>
    <w:rsid w:val="005E38A3"/>
    <w:rsid w:val="005E5328"/>
    <w:rsid w:val="005F0B56"/>
    <w:rsid w:val="005F15C4"/>
    <w:rsid w:val="005F30EC"/>
    <w:rsid w:val="005F3CBE"/>
    <w:rsid w:val="005F51A1"/>
    <w:rsid w:val="00600255"/>
    <w:rsid w:val="00603895"/>
    <w:rsid w:val="006117B0"/>
    <w:rsid w:val="0061764C"/>
    <w:rsid w:val="00617720"/>
    <w:rsid w:val="006200D6"/>
    <w:rsid w:val="006240DE"/>
    <w:rsid w:val="006249CF"/>
    <w:rsid w:val="00637023"/>
    <w:rsid w:val="00642105"/>
    <w:rsid w:val="0064301F"/>
    <w:rsid w:val="00664B57"/>
    <w:rsid w:val="00665E48"/>
    <w:rsid w:val="0066620F"/>
    <w:rsid w:val="00666B5F"/>
    <w:rsid w:val="006857AD"/>
    <w:rsid w:val="0068681B"/>
    <w:rsid w:val="006876A7"/>
    <w:rsid w:val="006B1D01"/>
    <w:rsid w:val="006B3627"/>
    <w:rsid w:val="006D1976"/>
    <w:rsid w:val="006F05A1"/>
    <w:rsid w:val="006F79B8"/>
    <w:rsid w:val="0071449B"/>
    <w:rsid w:val="0071634E"/>
    <w:rsid w:val="00716944"/>
    <w:rsid w:val="00725A9D"/>
    <w:rsid w:val="00727F18"/>
    <w:rsid w:val="007364DC"/>
    <w:rsid w:val="00743EF7"/>
    <w:rsid w:val="007449FE"/>
    <w:rsid w:val="007506C6"/>
    <w:rsid w:val="007543C7"/>
    <w:rsid w:val="00757C60"/>
    <w:rsid w:val="00763A62"/>
    <w:rsid w:val="007719D7"/>
    <w:rsid w:val="00773543"/>
    <w:rsid w:val="00780EAE"/>
    <w:rsid w:val="00790364"/>
    <w:rsid w:val="00795DFE"/>
    <w:rsid w:val="00797BDE"/>
    <w:rsid w:val="007B069A"/>
    <w:rsid w:val="007B4D90"/>
    <w:rsid w:val="007C3563"/>
    <w:rsid w:val="007C3AB7"/>
    <w:rsid w:val="007E1768"/>
    <w:rsid w:val="007E1FC5"/>
    <w:rsid w:val="007F4651"/>
    <w:rsid w:val="00803059"/>
    <w:rsid w:val="00805146"/>
    <w:rsid w:val="008079C4"/>
    <w:rsid w:val="0081162A"/>
    <w:rsid w:val="008169F8"/>
    <w:rsid w:val="008408ED"/>
    <w:rsid w:val="008449FF"/>
    <w:rsid w:val="00845824"/>
    <w:rsid w:val="00853CFA"/>
    <w:rsid w:val="008557C0"/>
    <w:rsid w:val="00855EA3"/>
    <w:rsid w:val="0086085F"/>
    <w:rsid w:val="00862608"/>
    <w:rsid w:val="00864C60"/>
    <w:rsid w:val="008819BE"/>
    <w:rsid w:val="008833B6"/>
    <w:rsid w:val="00890901"/>
    <w:rsid w:val="00890C7A"/>
    <w:rsid w:val="00891DC5"/>
    <w:rsid w:val="00892F57"/>
    <w:rsid w:val="008A7B36"/>
    <w:rsid w:val="008C5851"/>
    <w:rsid w:val="008D20E7"/>
    <w:rsid w:val="008D31BE"/>
    <w:rsid w:val="008D4B84"/>
    <w:rsid w:val="008E72BB"/>
    <w:rsid w:val="009075DC"/>
    <w:rsid w:val="00910EB6"/>
    <w:rsid w:val="00926C52"/>
    <w:rsid w:val="009322C8"/>
    <w:rsid w:val="00934AAE"/>
    <w:rsid w:val="00936ECA"/>
    <w:rsid w:val="00944BF7"/>
    <w:rsid w:val="00945155"/>
    <w:rsid w:val="00946948"/>
    <w:rsid w:val="00956438"/>
    <w:rsid w:val="0096360D"/>
    <w:rsid w:val="00966691"/>
    <w:rsid w:val="00973477"/>
    <w:rsid w:val="00993283"/>
    <w:rsid w:val="00995193"/>
    <w:rsid w:val="00996A34"/>
    <w:rsid w:val="009A0533"/>
    <w:rsid w:val="009A7E79"/>
    <w:rsid w:val="009B010B"/>
    <w:rsid w:val="009B2845"/>
    <w:rsid w:val="009B3967"/>
    <w:rsid w:val="009B3D39"/>
    <w:rsid w:val="009B67A5"/>
    <w:rsid w:val="009B77EA"/>
    <w:rsid w:val="009D035F"/>
    <w:rsid w:val="009E3E6F"/>
    <w:rsid w:val="009E431C"/>
    <w:rsid w:val="009E513C"/>
    <w:rsid w:val="00A11BB0"/>
    <w:rsid w:val="00A375F0"/>
    <w:rsid w:val="00A55928"/>
    <w:rsid w:val="00A57CF3"/>
    <w:rsid w:val="00A62A9B"/>
    <w:rsid w:val="00A64E24"/>
    <w:rsid w:val="00A64F7F"/>
    <w:rsid w:val="00A70B6A"/>
    <w:rsid w:val="00A81622"/>
    <w:rsid w:val="00A8261E"/>
    <w:rsid w:val="00A90973"/>
    <w:rsid w:val="00A91E98"/>
    <w:rsid w:val="00A9238D"/>
    <w:rsid w:val="00A92C3F"/>
    <w:rsid w:val="00AB3E65"/>
    <w:rsid w:val="00AC7685"/>
    <w:rsid w:val="00AD2391"/>
    <w:rsid w:val="00AE123E"/>
    <w:rsid w:val="00AE508B"/>
    <w:rsid w:val="00AF6B39"/>
    <w:rsid w:val="00B047A0"/>
    <w:rsid w:val="00B05A79"/>
    <w:rsid w:val="00B07185"/>
    <w:rsid w:val="00B07DF9"/>
    <w:rsid w:val="00B10949"/>
    <w:rsid w:val="00B113B3"/>
    <w:rsid w:val="00B162F1"/>
    <w:rsid w:val="00B1710B"/>
    <w:rsid w:val="00B2487C"/>
    <w:rsid w:val="00B2778C"/>
    <w:rsid w:val="00B3045D"/>
    <w:rsid w:val="00B3150D"/>
    <w:rsid w:val="00B4146D"/>
    <w:rsid w:val="00B43250"/>
    <w:rsid w:val="00B50E31"/>
    <w:rsid w:val="00B52556"/>
    <w:rsid w:val="00B67F95"/>
    <w:rsid w:val="00B7406C"/>
    <w:rsid w:val="00B81F71"/>
    <w:rsid w:val="00B83313"/>
    <w:rsid w:val="00B84255"/>
    <w:rsid w:val="00B91530"/>
    <w:rsid w:val="00B92EEA"/>
    <w:rsid w:val="00B931D9"/>
    <w:rsid w:val="00B9325D"/>
    <w:rsid w:val="00B97301"/>
    <w:rsid w:val="00BA1AAF"/>
    <w:rsid w:val="00BA593E"/>
    <w:rsid w:val="00BA6596"/>
    <w:rsid w:val="00BB165E"/>
    <w:rsid w:val="00BB3CBD"/>
    <w:rsid w:val="00BB64F9"/>
    <w:rsid w:val="00BC432F"/>
    <w:rsid w:val="00BE2D42"/>
    <w:rsid w:val="00BF2455"/>
    <w:rsid w:val="00BF3FD3"/>
    <w:rsid w:val="00C01650"/>
    <w:rsid w:val="00C043C8"/>
    <w:rsid w:val="00C064E0"/>
    <w:rsid w:val="00C06C4E"/>
    <w:rsid w:val="00C10421"/>
    <w:rsid w:val="00C16495"/>
    <w:rsid w:val="00C16B8C"/>
    <w:rsid w:val="00C30BA1"/>
    <w:rsid w:val="00C37BA9"/>
    <w:rsid w:val="00C464BE"/>
    <w:rsid w:val="00C6168C"/>
    <w:rsid w:val="00C659D1"/>
    <w:rsid w:val="00C65ADC"/>
    <w:rsid w:val="00C66CFA"/>
    <w:rsid w:val="00C75D33"/>
    <w:rsid w:val="00C81B93"/>
    <w:rsid w:val="00C8547A"/>
    <w:rsid w:val="00C857A7"/>
    <w:rsid w:val="00C87ADD"/>
    <w:rsid w:val="00C90BE2"/>
    <w:rsid w:val="00C962DA"/>
    <w:rsid w:val="00CA390E"/>
    <w:rsid w:val="00CA5D7E"/>
    <w:rsid w:val="00CB4674"/>
    <w:rsid w:val="00CB4FF2"/>
    <w:rsid w:val="00CC1010"/>
    <w:rsid w:val="00CD3A04"/>
    <w:rsid w:val="00CE3BB3"/>
    <w:rsid w:val="00CF6702"/>
    <w:rsid w:val="00D11305"/>
    <w:rsid w:val="00D128A4"/>
    <w:rsid w:val="00D132DA"/>
    <w:rsid w:val="00D15244"/>
    <w:rsid w:val="00D17FE1"/>
    <w:rsid w:val="00D25C71"/>
    <w:rsid w:val="00D33FA6"/>
    <w:rsid w:val="00D432B0"/>
    <w:rsid w:val="00D44886"/>
    <w:rsid w:val="00D55B8C"/>
    <w:rsid w:val="00D638F2"/>
    <w:rsid w:val="00D645D0"/>
    <w:rsid w:val="00D663A6"/>
    <w:rsid w:val="00D67A25"/>
    <w:rsid w:val="00D67F27"/>
    <w:rsid w:val="00D72686"/>
    <w:rsid w:val="00D80886"/>
    <w:rsid w:val="00D8432C"/>
    <w:rsid w:val="00D873BA"/>
    <w:rsid w:val="00D91813"/>
    <w:rsid w:val="00D97717"/>
    <w:rsid w:val="00D97898"/>
    <w:rsid w:val="00D97DBE"/>
    <w:rsid w:val="00DA7A7C"/>
    <w:rsid w:val="00DC03B9"/>
    <w:rsid w:val="00DD6AAC"/>
    <w:rsid w:val="00DE0ED3"/>
    <w:rsid w:val="00DF21E5"/>
    <w:rsid w:val="00DF462B"/>
    <w:rsid w:val="00DF7140"/>
    <w:rsid w:val="00E001DD"/>
    <w:rsid w:val="00E225AE"/>
    <w:rsid w:val="00E252BF"/>
    <w:rsid w:val="00E35900"/>
    <w:rsid w:val="00E35EF5"/>
    <w:rsid w:val="00E40048"/>
    <w:rsid w:val="00E51390"/>
    <w:rsid w:val="00E5315B"/>
    <w:rsid w:val="00E539DC"/>
    <w:rsid w:val="00E60D1E"/>
    <w:rsid w:val="00E67828"/>
    <w:rsid w:val="00E70865"/>
    <w:rsid w:val="00E7272F"/>
    <w:rsid w:val="00E86C69"/>
    <w:rsid w:val="00E93852"/>
    <w:rsid w:val="00E93FAA"/>
    <w:rsid w:val="00EA1A2A"/>
    <w:rsid w:val="00EA1C66"/>
    <w:rsid w:val="00EA1D81"/>
    <w:rsid w:val="00EA593D"/>
    <w:rsid w:val="00EB3651"/>
    <w:rsid w:val="00EB3F77"/>
    <w:rsid w:val="00EB66FE"/>
    <w:rsid w:val="00EC41DA"/>
    <w:rsid w:val="00EC71FE"/>
    <w:rsid w:val="00ED3AE0"/>
    <w:rsid w:val="00EF1BCC"/>
    <w:rsid w:val="00EF31C0"/>
    <w:rsid w:val="00F10F15"/>
    <w:rsid w:val="00F13ACF"/>
    <w:rsid w:val="00F32357"/>
    <w:rsid w:val="00F32548"/>
    <w:rsid w:val="00F36C1E"/>
    <w:rsid w:val="00F53996"/>
    <w:rsid w:val="00F552BC"/>
    <w:rsid w:val="00F6076B"/>
    <w:rsid w:val="00F6270F"/>
    <w:rsid w:val="00F70271"/>
    <w:rsid w:val="00F738DB"/>
    <w:rsid w:val="00F803AB"/>
    <w:rsid w:val="00F811A8"/>
    <w:rsid w:val="00F97B3C"/>
    <w:rsid w:val="00FA0686"/>
    <w:rsid w:val="00FA31DF"/>
    <w:rsid w:val="00FA39A7"/>
    <w:rsid w:val="00FA3FE6"/>
    <w:rsid w:val="00FA4DD6"/>
    <w:rsid w:val="00FA5299"/>
    <w:rsid w:val="00FB5612"/>
    <w:rsid w:val="00FC0190"/>
    <w:rsid w:val="00FD0DBB"/>
    <w:rsid w:val="00FE348B"/>
    <w:rsid w:val="00FF2621"/>
    <w:rsid w:val="00FF6901"/>
    <w:rsid w:val="01045EE2"/>
    <w:rsid w:val="012132E7"/>
    <w:rsid w:val="0DA02B85"/>
    <w:rsid w:val="0DE266F6"/>
    <w:rsid w:val="0F9602B1"/>
    <w:rsid w:val="13A567BD"/>
    <w:rsid w:val="14757874"/>
    <w:rsid w:val="1628608D"/>
    <w:rsid w:val="17A91EE3"/>
    <w:rsid w:val="1CE83919"/>
    <w:rsid w:val="1D0112A5"/>
    <w:rsid w:val="1E35237C"/>
    <w:rsid w:val="204770A9"/>
    <w:rsid w:val="214F72DB"/>
    <w:rsid w:val="21E26339"/>
    <w:rsid w:val="23A83E9A"/>
    <w:rsid w:val="26EF26D6"/>
    <w:rsid w:val="2A145201"/>
    <w:rsid w:val="2F7373B8"/>
    <w:rsid w:val="33A60EC1"/>
    <w:rsid w:val="34172340"/>
    <w:rsid w:val="36FB4A36"/>
    <w:rsid w:val="493B1085"/>
    <w:rsid w:val="4E664E91"/>
    <w:rsid w:val="53006A68"/>
    <w:rsid w:val="54A219C4"/>
    <w:rsid w:val="54A64925"/>
    <w:rsid w:val="55E27CE7"/>
    <w:rsid w:val="56E74BD2"/>
    <w:rsid w:val="5A3F0D1E"/>
    <w:rsid w:val="5FBF1731"/>
    <w:rsid w:val="64F715D2"/>
    <w:rsid w:val="65A0192C"/>
    <w:rsid w:val="6B5D07E9"/>
    <w:rsid w:val="6E0E7C57"/>
    <w:rsid w:val="714D2C1B"/>
    <w:rsid w:val="71925A53"/>
    <w:rsid w:val="721C1DDA"/>
    <w:rsid w:val="722424B8"/>
    <w:rsid w:val="7264515C"/>
    <w:rsid w:val="740E486B"/>
    <w:rsid w:val="7571339E"/>
    <w:rsid w:val="776068CB"/>
    <w:rsid w:val="79604E3C"/>
    <w:rsid w:val="7A804FA7"/>
    <w:rsid w:val="7B155621"/>
    <w:rsid w:val="7EE84823"/>
    <w:rsid w:val="7FA56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0"/>
      <w:szCs w:val="24"/>
      <w:lang w:val="en-US" w:eastAsia="zh-CN" w:bidi="ar-SA"/>
    </w:rPr>
  </w:style>
  <w:style w:type="paragraph" w:styleId="2">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rFonts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ascii="Times New Roman" w:hAnsi="Times New Roman" w:cs="Times New Roman"/>
      <w:kern w:val="0"/>
      <w:sz w:val="24"/>
    </w:rPr>
  </w:style>
  <w:style w:type="paragraph" w:styleId="8">
    <w:name w:val="annotation subject"/>
    <w:basedOn w:val="3"/>
    <w:next w:val="3"/>
    <w:link w:val="16"/>
    <w:qFormat/>
    <w:uiPriority w:val="0"/>
    <w:rPr>
      <w:b/>
      <w:bCs/>
    </w:rPr>
  </w:style>
  <w:style w:type="character" w:styleId="11">
    <w:name w:val="page number"/>
    <w:basedOn w:val="10"/>
    <w:qFormat/>
    <w:uiPriority w:val="0"/>
    <w:rPr>
      <w:rFonts w:cs="Times New Roman"/>
    </w:rPr>
  </w:style>
  <w:style w:type="character" w:styleId="12">
    <w:name w:val="annotation reference"/>
    <w:basedOn w:val="10"/>
    <w:qFormat/>
    <w:uiPriority w:val="0"/>
    <w:rPr>
      <w:sz w:val="21"/>
      <w:szCs w:val="21"/>
    </w:rPr>
  </w:style>
  <w:style w:type="paragraph" w:customStyle="1" w:styleId="13">
    <w:name w:val="列表段落1"/>
    <w:basedOn w:val="1"/>
    <w:qFormat/>
    <w:uiPriority w:val="0"/>
    <w:pPr>
      <w:ind w:firstLine="420" w:firstLineChars="200"/>
    </w:pPr>
  </w:style>
  <w:style w:type="paragraph" w:styleId="14">
    <w:name w:val="List Paragraph"/>
    <w:basedOn w:val="1"/>
    <w:qFormat/>
    <w:uiPriority w:val="34"/>
    <w:pPr>
      <w:ind w:firstLine="420" w:firstLineChars="200"/>
    </w:pPr>
  </w:style>
  <w:style w:type="character" w:customStyle="1" w:styleId="15">
    <w:name w:val="批注文字 Char"/>
    <w:basedOn w:val="10"/>
    <w:link w:val="3"/>
    <w:qFormat/>
    <w:uiPriority w:val="0"/>
    <w:rPr>
      <w:rFonts w:eastAsia="仿宋_GB2312" w:asciiTheme="minorHAnsi" w:hAnsiTheme="minorHAnsi" w:cstheme="minorBidi"/>
      <w:kern w:val="2"/>
      <w:sz w:val="30"/>
      <w:szCs w:val="24"/>
    </w:rPr>
  </w:style>
  <w:style w:type="character" w:customStyle="1" w:styleId="16">
    <w:name w:val="批注主题 Char"/>
    <w:basedOn w:val="15"/>
    <w:link w:val="8"/>
    <w:qFormat/>
    <w:uiPriority w:val="0"/>
    <w:rPr>
      <w:rFonts w:eastAsia="仿宋_GB2312" w:asciiTheme="minorHAnsi" w:hAnsiTheme="minorHAnsi" w:cstheme="minorBidi"/>
      <w:b/>
      <w:bCs/>
      <w:kern w:val="2"/>
      <w:sz w:val="30"/>
      <w:szCs w:val="24"/>
    </w:rPr>
  </w:style>
  <w:style w:type="character" w:customStyle="1" w:styleId="17">
    <w:name w:val="批注框文本 Char"/>
    <w:basedOn w:val="10"/>
    <w:link w:val="4"/>
    <w:qFormat/>
    <w:uiPriority w:val="0"/>
    <w:rPr>
      <w:rFonts w:eastAsia="仿宋_GB2312" w:asciiTheme="minorHAnsi" w:hAnsiTheme="minorHAnsi" w:cstheme="minorBidi"/>
      <w:kern w:val="2"/>
      <w:sz w:val="18"/>
      <w:szCs w:val="18"/>
    </w:rPr>
  </w:style>
  <w:style w:type="character" w:customStyle="1" w:styleId="18">
    <w:name w:val="标题 2 Char"/>
    <w:basedOn w:val="10"/>
    <w:link w:val="2"/>
    <w:qFormat/>
    <w:uiPriority w:val="9"/>
    <w:rPr>
      <w:rFonts w:asciiTheme="majorHAnsi" w:hAnsiTheme="majorHAnsi" w:eastAsiaTheme="majorEastAsia" w:cstheme="majorBidi"/>
      <w:b/>
      <w:bCs/>
      <w:kern w:val="2"/>
      <w:sz w:val="32"/>
      <w:szCs w:val="32"/>
    </w:rPr>
  </w:style>
  <w:style w:type="paragraph" w:customStyle="1" w:styleId="1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
    <w:name w:val="List Paragraph1"/>
    <w:basedOn w:val="1"/>
    <w:semiHidden/>
    <w:qFormat/>
    <w:uiPriority w:val="0"/>
    <w:pPr>
      <w:ind w:firstLine="420" w:firstLineChars="200"/>
    </w:pPr>
    <w:rPr>
      <w:rFonts w:ascii="Calibri" w:hAnsi="Calibri" w:eastAsia="宋体" w:cs="Times New Roman"/>
      <w:sz w:val="21"/>
      <w:szCs w:val="21"/>
    </w:rPr>
  </w:style>
  <w:style w:type="paragraph" w:customStyle="1" w:styleId="21">
    <w:name w:val="List Paragraph2"/>
    <w:basedOn w:val="1"/>
    <w:qFormat/>
    <w:uiPriority w:val="0"/>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1A62A-65B8-4DD4-A4AF-E2C4A7A0CC5D}">
  <ds:schemaRefs/>
</ds:datastoreItem>
</file>

<file path=docProps/app.xml><?xml version="1.0" encoding="utf-8"?>
<Properties xmlns="http://schemas.openxmlformats.org/officeDocument/2006/extended-properties" xmlns:vt="http://schemas.openxmlformats.org/officeDocument/2006/docPropsVTypes">
  <Template>Normal</Template>
  <Pages>11</Pages>
  <Words>1003</Words>
  <Characters>5721</Characters>
  <Lines>47</Lines>
  <Paragraphs>13</Paragraphs>
  <TotalTime>243</TotalTime>
  <ScaleCrop>false</ScaleCrop>
  <LinksUpToDate>false</LinksUpToDate>
  <CharactersWithSpaces>6711</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scarlet</dc:creator>
  <cp:lastModifiedBy>ASUS</cp:lastModifiedBy>
  <dcterms:modified xsi:type="dcterms:W3CDTF">2019-03-12T01:49:10Z</dcterms:modified>
  <cp:revision>702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