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2017年度预算绩效工作开展情况说明</w:t>
      </w:r>
    </w:p>
    <w:p>
      <w:pPr>
        <w:numPr>
          <w:numId w:val="0"/>
        </w:numPr>
        <w:rPr>
          <w:rFonts w:hint="eastAsia"/>
          <w:color w:val="000000"/>
          <w:spacing w:val="0"/>
          <w:w w:val="100"/>
          <w:position w:val="0"/>
          <w:lang w:val="zh-CN" w:eastAsia="zh-CN" w:bidi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一是构建绩效管理制度框架，逐步完善绩效管理操作规程。出台了《曲靖市人民政府办公室关于全面推进预算绩效管理改革的实施意见》（曲政办发〔2017〕61号），强化了预算绩效管理主体责任，建立了预算绩效管理制度和工作机制，对各类财政资金实施全过程预算绩效管理，初步搭建起我市预算绩效管理改革框架和路线图。二是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2018年全市所有部门项目预算申报同步编制项目支出绩效目标，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建立了绩效目标与预算资金同步申报、审核、批复下达机制。三是对2016年度市本级预算安排的19个项目25761. 45万元以及2017年市本级部门预算安排的29个项目涉及70927.57万元 的重点项目开展了绩效跟踪评价。在23个主管部门对照项目绩效目标体系开展了自评的基础上，结合近两年全市脱贫攻坚的工作重点，联合市扶贫办对2016及2017年度扶贫资金管理使用开展了绩效自评，对全市专项扶贫资金使用情况进行了考核并出具了绩效考评报告。强化了部门使用财政资金的绩效意识，提高了资金使用效益，为下年度科学编制部门项目预算提供了决策依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BE12E9"/>
    <w:rsid w:val="25734E39"/>
    <w:rsid w:val="29BE12E9"/>
    <w:rsid w:val="7ACD20C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lang w:val="zh-CN" w:eastAsia="zh-CN" w:bidi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21"/>
    <w:basedOn w:val="1"/>
    <w:qFormat/>
    <w:uiPriority w:val="0"/>
    <w:pPr>
      <w:widowControl w:val="0"/>
      <w:shd w:val="clear" w:color="auto" w:fill="FFFFFF"/>
      <w:spacing w:before="460" w:after="1580" w:line="280" w:lineRule="exact"/>
    </w:pPr>
    <w:rPr>
      <w:rFonts w:ascii="PMingLiU" w:hAnsi="PMingLiU" w:eastAsia="PMingLiU" w:cs="PMingLiU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D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曲靖市直属党政机关单位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2019-01-25T01:22:00Z</dcterms:created>
  <dc:creator>ysk314m</dc:creator>
  <cp:lastModifiedBy>ysk314m</cp:lastModifiedBy>
  <dcterms:modified xsi:type="dcterms:W3CDTF">2019-01-25T01:47:02Z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